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after="312" w:afterLines="100"/>
        <w:jc w:val="center"/>
        <w:rPr>
          <w:rFonts w:ascii="黑体" w:hAnsi="黑体" w:eastAsia="方正小标宋_GBK" w:cs="黑体"/>
          <w:sz w:val="32"/>
          <w:szCs w:val="32"/>
        </w:rPr>
      </w:pPr>
      <w:r>
        <w:rPr>
          <w:rFonts w:hint="eastAsia" w:ascii="方正小标宋_GBK" w:hAnsi="黑体" w:eastAsia="方正小标宋_GBK" w:cs="Times New Roman"/>
          <w:sz w:val="32"/>
          <w:szCs w:val="32"/>
        </w:rPr>
        <w:t>新一轮本科教育教学审核评估学院评估专家考察工作安排</w:t>
      </w:r>
    </w:p>
    <w:p>
      <w:pPr>
        <w:adjustRightInd w:val="0"/>
        <w:snapToGrid w:val="0"/>
        <w:spacing w:line="360" w:lineRule="auto"/>
        <w:ind w:firstLine="561"/>
        <w:rPr>
          <w:rFonts w:ascii="仿宋" w:hAnsi="仿宋" w:eastAsia="仿宋" w:cs="仿宋"/>
          <w:sz w:val="28"/>
          <w:szCs w:val="28"/>
        </w:rPr>
      </w:pPr>
      <w:r>
        <w:rPr>
          <w:rFonts w:hint="eastAsia" w:ascii="仿宋" w:hAnsi="仿宋" w:eastAsia="仿宋" w:cs="仿宋"/>
          <w:sz w:val="28"/>
          <w:szCs w:val="28"/>
        </w:rPr>
        <w:t>根据《北京交通大学新一轮本科教育教学审核评估学院自评实施方案》要求，</w:t>
      </w:r>
      <w:r>
        <w:rPr>
          <w:rFonts w:ascii="仿宋" w:hAnsi="仿宋" w:eastAsia="仿宋" w:cs="仿宋"/>
          <w:sz w:val="28"/>
          <w:szCs w:val="28"/>
        </w:rPr>
        <w:t>学校</w:t>
      </w:r>
      <w:r>
        <w:rPr>
          <w:rFonts w:hint="eastAsia" w:ascii="仿宋" w:hAnsi="仿宋" w:eastAsia="仿宋" w:cs="仿宋"/>
          <w:sz w:val="28"/>
          <w:szCs w:val="28"/>
        </w:rPr>
        <w:t>将</w:t>
      </w:r>
      <w:r>
        <w:rPr>
          <w:rFonts w:ascii="仿宋" w:hAnsi="仿宋" w:eastAsia="仿宋" w:cs="仿宋"/>
          <w:sz w:val="28"/>
          <w:szCs w:val="28"/>
        </w:rPr>
        <w:t>组织开展学院评估专家考察工作</w:t>
      </w:r>
      <w:r>
        <w:rPr>
          <w:rFonts w:hint="eastAsia" w:ascii="仿宋" w:hAnsi="仿宋" w:eastAsia="仿宋" w:cs="仿宋"/>
          <w:sz w:val="28"/>
          <w:szCs w:val="28"/>
        </w:rPr>
        <w:t>，为保障考察</w:t>
      </w:r>
      <w:r>
        <w:rPr>
          <w:rFonts w:ascii="仿宋" w:hAnsi="仿宋" w:eastAsia="仿宋" w:cs="仿宋"/>
          <w:sz w:val="28"/>
          <w:szCs w:val="28"/>
        </w:rPr>
        <w:t>工作顺利开展</w:t>
      </w:r>
      <w:r>
        <w:rPr>
          <w:rFonts w:hint="eastAsia" w:ascii="仿宋" w:hAnsi="仿宋" w:eastAsia="仿宋" w:cs="仿宋"/>
          <w:sz w:val="28"/>
          <w:szCs w:val="28"/>
        </w:rPr>
        <w:t>，特制定</w:t>
      </w:r>
      <w:r>
        <w:rPr>
          <w:rFonts w:ascii="仿宋" w:hAnsi="仿宋" w:eastAsia="仿宋" w:cs="仿宋"/>
          <w:sz w:val="28"/>
          <w:szCs w:val="28"/>
        </w:rPr>
        <w:t>工作</w:t>
      </w:r>
      <w:r>
        <w:rPr>
          <w:rFonts w:hint="eastAsia" w:ascii="仿宋" w:hAnsi="仿宋" w:eastAsia="仿宋" w:cs="仿宋"/>
          <w:sz w:val="28"/>
          <w:szCs w:val="28"/>
        </w:rPr>
        <w:t>安排。</w:t>
      </w:r>
    </w:p>
    <w:p>
      <w:pPr>
        <w:numPr>
          <w:ilvl w:val="0"/>
          <w:numId w:val="1"/>
        </w:numPr>
        <w:adjustRightInd w:val="0"/>
        <w:snapToGrid w:val="0"/>
        <w:spacing w:line="360" w:lineRule="auto"/>
        <w:ind w:firstLine="561"/>
        <w:outlineLvl w:val="1"/>
        <w:rPr>
          <w:rFonts w:ascii="黑体" w:hAnsi="黑体" w:eastAsia="黑体" w:cs="黑体"/>
          <w:sz w:val="28"/>
          <w:szCs w:val="28"/>
        </w:rPr>
      </w:pPr>
      <w:r>
        <w:rPr>
          <w:rFonts w:hint="eastAsia" w:ascii="黑体" w:hAnsi="黑体" w:eastAsia="黑体" w:cs="黑体"/>
          <w:sz w:val="28"/>
          <w:szCs w:val="28"/>
        </w:rPr>
        <w:t>指导思想</w:t>
      </w:r>
    </w:p>
    <w:p>
      <w:pPr>
        <w:adjustRightInd w:val="0"/>
        <w:snapToGrid w:val="0"/>
        <w:spacing w:line="360" w:lineRule="auto"/>
        <w:ind w:firstLine="561"/>
        <w:rPr>
          <w:rFonts w:ascii="仿宋" w:hAnsi="仿宋" w:eastAsia="仿宋" w:cs="仿宋"/>
          <w:sz w:val="28"/>
          <w:szCs w:val="28"/>
        </w:rPr>
      </w:pPr>
      <w:r>
        <w:rPr>
          <w:rFonts w:hint="eastAsia" w:ascii="仿宋" w:hAnsi="仿宋" w:eastAsia="仿宋" w:cs="仿宋"/>
          <w:sz w:val="28"/>
          <w:szCs w:val="28"/>
        </w:rPr>
        <w:t>以习近平新时代中国特色社会主义思想为指导，全面贯彻落实党的二十大精神和党的教育方针，全面落实立德树人根本任务，落实教育部新一轮本科教育教学审核评估要求，确保人才培养中心地位和本科教育教学核心地位，坚持以评促建、以评促改、以评促管、以评促强，推进学校健全本科教育教学质量保障体系，建立自觉、自省、自律、自查、自纠的质量文化，引导学院内涵发展、特色发展、创新发展，培养德智体美劳全面发展的社会主义建设者和接班人。</w:t>
      </w:r>
    </w:p>
    <w:p>
      <w:pPr>
        <w:numPr>
          <w:ilvl w:val="0"/>
          <w:numId w:val="1"/>
        </w:numPr>
        <w:adjustRightInd w:val="0"/>
        <w:snapToGrid w:val="0"/>
        <w:spacing w:line="360" w:lineRule="auto"/>
        <w:ind w:firstLine="561"/>
        <w:outlineLvl w:val="1"/>
        <w:rPr>
          <w:rFonts w:ascii="黑体" w:hAnsi="黑体" w:eastAsia="黑体" w:cs="黑体"/>
          <w:sz w:val="28"/>
          <w:szCs w:val="28"/>
        </w:rPr>
      </w:pPr>
      <w:r>
        <w:rPr>
          <w:rFonts w:hint="eastAsia" w:ascii="黑体" w:hAnsi="黑体" w:eastAsia="黑体" w:cs="黑体"/>
          <w:sz w:val="28"/>
          <w:szCs w:val="28"/>
        </w:rPr>
        <w:t>专家组构成</w:t>
      </w:r>
    </w:p>
    <w:p>
      <w:pPr>
        <w:adjustRightInd w:val="0"/>
        <w:snapToGrid w:val="0"/>
        <w:spacing w:line="360" w:lineRule="auto"/>
        <w:ind w:firstLine="561"/>
        <w:rPr>
          <w:rFonts w:ascii="仿宋" w:hAnsi="仿宋" w:eastAsia="仿宋" w:cs="仿宋"/>
          <w:sz w:val="28"/>
          <w:szCs w:val="28"/>
        </w:rPr>
      </w:pPr>
      <w:r>
        <w:rPr>
          <w:rFonts w:hint="eastAsia" w:ascii="仿宋" w:hAnsi="仿宋" w:eastAsia="仿宋" w:cs="仿宋"/>
          <w:sz w:val="28"/>
          <w:szCs w:val="28"/>
        </w:rPr>
        <w:t>学院评估专家组设专家</w:t>
      </w:r>
      <w:r>
        <w:rPr>
          <w:rFonts w:ascii="仿宋" w:hAnsi="仿宋" w:eastAsia="仿宋" w:cs="仿宋"/>
          <w:sz w:val="28"/>
          <w:szCs w:val="28"/>
        </w:rPr>
        <w:t>领导组及专家工作组</w:t>
      </w:r>
      <w:r>
        <w:rPr>
          <w:rFonts w:hint="eastAsia" w:ascii="仿宋" w:hAnsi="仿宋" w:eastAsia="仿宋" w:cs="仿宋"/>
          <w:sz w:val="28"/>
          <w:szCs w:val="28"/>
        </w:rPr>
        <w:t>。</w:t>
      </w:r>
    </w:p>
    <w:p>
      <w:pPr>
        <w:adjustRightInd w:val="0"/>
        <w:snapToGrid w:val="0"/>
        <w:spacing w:line="360" w:lineRule="auto"/>
        <w:ind w:firstLine="561"/>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专家</w:t>
      </w:r>
      <w:r>
        <w:rPr>
          <w:rFonts w:ascii="仿宋" w:hAnsi="仿宋" w:eastAsia="仿宋" w:cs="仿宋"/>
          <w:sz w:val="28"/>
          <w:szCs w:val="28"/>
        </w:rPr>
        <w:t>领导组</w:t>
      </w:r>
      <w:r>
        <w:rPr>
          <w:rFonts w:hint="eastAsia" w:ascii="仿宋" w:hAnsi="仿宋" w:eastAsia="仿宋" w:cs="仿宋"/>
          <w:sz w:val="28"/>
          <w:szCs w:val="28"/>
        </w:rPr>
        <w:t>负责学院评估专家考察工作方案的</w:t>
      </w:r>
      <w:r>
        <w:rPr>
          <w:rFonts w:ascii="仿宋" w:hAnsi="仿宋" w:eastAsia="仿宋" w:cs="仿宋"/>
          <w:sz w:val="28"/>
          <w:szCs w:val="28"/>
        </w:rPr>
        <w:t>制定</w:t>
      </w:r>
      <w:r>
        <w:rPr>
          <w:rFonts w:hint="eastAsia" w:ascii="仿宋" w:hAnsi="仿宋" w:eastAsia="仿宋" w:cs="仿宋"/>
          <w:sz w:val="28"/>
          <w:szCs w:val="28"/>
        </w:rPr>
        <w:t>、专家线上</w:t>
      </w:r>
      <w:r>
        <w:rPr>
          <w:rFonts w:ascii="仿宋" w:hAnsi="仿宋" w:eastAsia="仿宋" w:cs="仿宋"/>
          <w:sz w:val="28"/>
          <w:szCs w:val="28"/>
        </w:rPr>
        <w:t>及入院考察的</w:t>
      </w:r>
      <w:r>
        <w:rPr>
          <w:rFonts w:hint="eastAsia" w:ascii="仿宋" w:hAnsi="仿宋" w:eastAsia="仿宋" w:cs="仿宋"/>
          <w:sz w:val="28"/>
          <w:szCs w:val="28"/>
        </w:rPr>
        <w:t>组织实施、检查督导等工作。</w:t>
      </w:r>
    </w:p>
    <w:p>
      <w:pPr>
        <w:adjustRightInd w:val="0"/>
        <w:snapToGrid w:val="0"/>
        <w:spacing w:line="360" w:lineRule="auto"/>
        <w:ind w:firstLine="561"/>
        <w:rPr>
          <w:rFonts w:ascii="仿宋" w:hAnsi="仿宋" w:eastAsia="仿宋" w:cs="仿宋"/>
          <w:sz w:val="28"/>
          <w:szCs w:val="28"/>
        </w:rPr>
      </w:pPr>
      <w:r>
        <w:rPr>
          <w:rFonts w:hint="eastAsia" w:ascii="仿宋" w:hAnsi="仿宋" w:eastAsia="仿宋" w:cs="仿宋"/>
          <w:sz w:val="28"/>
          <w:szCs w:val="28"/>
        </w:rPr>
        <w:t>组长</w:t>
      </w:r>
      <w:r>
        <w:rPr>
          <w:rFonts w:ascii="仿宋" w:hAnsi="仿宋" w:eastAsia="仿宋" w:cs="仿宋"/>
          <w:sz w:val="28"/>
          <w:szCs w:val="28"/>
        </w:rPr>
        <w:t>：</w:t>
      </w:r>
      <w:r>
        <w:rPr>
          <w:rFonts w:hint="eastAsia" w:ascii="仿宋" w:hAnsi="仿宋" w:eastAsia="仿宋" w:cs="仿宋"/>
          <w:sz w:val="28"/>
          <w:szCs w:val="28"/>
        </w:rPr>
        <w:t>主管</w:t>
      </w:r>
      <w:r>
        <w:rPr>
          <w:rFonts w:ascii="仿宋" w:hAnsi="仿宋" w:eastAsia="仿宋" w:cs="仿宋"/>
          <w:sz w:val="28"/>
          <w:szCs w:val="28"/>
        </w:rPr>
        <w:t>本科教学工作</w:t>
      </w:r>
      <w:r>
        <w:rPr>
          <w:rFonts w:hint="eastAsia" w:ascii="仿宋" w:hAnsi="仿宋" w:eastAsia="仿宋" w:cs="仿宋"/>
          <w:sz w:val="28"/>
          <w:szCs w:val="28"/>
        </w:rPr>
        <w:t>副校长</w:t>
      </w:r>
    </w:p>
    <w:p>
      <w:pPr>
        <w:adjustRightInd w:val="0"/>
        <w:snapToGrid w:val="0"/>
        <w:spacing w:line="360" w:lineRule="auto"/>
        <w:ind w:firstLine="561"/>
        <w:rPr>
          <w:rFonts w:ascii="仿宋" w:hAnsi="仿宋" w:eastAsia="仿宋" w:cs="仿宋"/>
          <w:sz w:val="28"/>
          <w:szCs w:val="28"/>
        </w:rPr>
      </w:pPr>
      <w:r>
        <w:rPr>
          <w:rFonts w:hint="eastAsia" w:ascii="仿宋" w:hAnsi="仿宋" w:eastAsia="仿宋" w:cs="仿宋"/>
          <w:sz w:val="28"/>
          <w:szCs w:val="28"/>
        </w:rPr>
        <w:t>副组长</w:t>
      </w:r>
      <w:r>
        <w:rPr>
          <w:rFonts w:ascii="仿宋" w:hAnsi="仿宋" w:eastAsia="仿宋" w:cs="仿宋"/>
          <w:sz w:val="28"/>
          <w:szCs w:val="28"/>
        </w:rPr>
        <w:t>：本科生院常务副院长</w:t>
      </w:r>
    </w:p>
    <w:p>
      <w:pPr>
        <w:adjustRightInd w:val="0"/>
        <w:snapToGrid w:val="0"/>
        <w:spacing w:line="360" w:lineRule="auto"/>
        <w:ind w:firstLine="561"/>
        <w:rPr>
          <w:rFonts w:ascii="仿宋" w:hAnsi="仿宋" w:eastAsia="仿宋" w:cs="仿宋"/>
          <w:sz w:val="28"/>
          <w:szCs w:val="28"/>
        </w:rPr>
      </w:pPr>
      <w:r>
        <w:rPr>
          <w:rFonts w:hint="eastAsia" w:ascii="仿宋" w:hAnsi="仿宋" w:eastAsia="仿宋" w:cs="仿宋"/>
          <w:sz w:val="28"/>
          <w:szCs w:val="28"/>
        </w:rPr>
        <w:t>成员：各</w:t>
      </w:r>
      <w:r>
        <w:rPr>
          <w:rFonts w:ascii="仿宋" w:hAnsi="仿宋" w:eastAsia="仿宋" w:cs="仿宋"/>
          <w:sz w:val="28"/>
          <w:szCs w:val="28"/>
        </w:rPr>
        <w:t>专家工作组组长</w:t>
      </w:r>
    </w:p>
    <w:p>
      <w:pPr>
        <w:adjustRightInd w:val="0"/>
        <w:snapToGrid w:val="0"/>
        <w:spacing w:line="360" w:lineRule="auto"/>
        <w:ind w:firstLine="561"/>
        <w:rPr>
          <w:rFonts w:ascii="仿宋" w:hAnsi="仿宋" w:eastAsia="仿宋" w:cs="仿宋"/>
          <w:sz w:val="28"/>
          <w:szCs w:val="28"/>
        </w:rPr>
      </w:pPr>
      <w:r>
        <w:rPr>
          <w:rFonts w:hint="eastAsia" w:ascii="仿宋" w:hAnsi="仿宋" w:eastAsia="仿宋" w:cs="仿宋"/>
          <w:sz w:val="28"/>
          <w:szCs w:val="28"/>
        </w:rPr>
        <w:t>专家</w:t>
      </w:r>
      <w:r>
        <w:rPr>
          <w:rFonts w:ascii="仿宋" w:hAnsi="仿宋" w:eastAsia="仿宋" w:cs="仿宋"/>
          <w:sz w:val="28"/>
          <w:szCs w:val="28"/>
        </w:rPr>
        <w:t>领导组办公室设在本科生院教学质量促进办公室，负责</w:t>
      </w:r>
      <w:r>
        <w:rPr>
          <w:rFonts w:hint="eastAsia" w:ascii="仿宋" w:hAnsi="仿宋" w:eastAsia="仿宋" w:cs="仿宋"/>
          <w:sz w:val="28"/>
          <w:szCs w:val="28"/>
        </w:rPr>
        <w:t>专家</w:t>
      </w:r>
      <w:r>
        <w:rPr>
          <w:rFonts w:ascii="仿宋" w:hAnsi="仿宋" w:eastAsia="仿宋" w:cs="仿宋"/>
          <w:sz w:val="28"/>
          <w:szCs w:val="28"/>
        </w:rPr>
        <w:t>联络</w:t>
      </w:r>
      <w:r>
        <w:rPr>
          <w:rFonts w:hint="eastAsia" w:ascii="仿宋" w:hAnsi="仿宋" w:eastAsia="仿宋" w:cs="仿宋"/>
          <w:sz w:val="28"/>
          <w:szCs w:val="28"/>
        </w:rPr>
        <w:t>、统筹协调、疑问解答等各项工作，联系人：陈丽，51683724，chen.li@bjtu.edu.cn。</w:t>
      </w:r>
    </w:p>
    <w:p>
      <w:pPr>
        <w:adjustRightInd w:val="0"/>
        <w:snapToGrid w:val="0"/>
        <w:spacing w:line="360" w:lineRule="auto"/>
        <w:ind w:firstLine="561"/>
        <w:rPr>
          <w:rFonts w:ascii="仿宋" w:hAnsi="仿宋" w:eastAsia="仿宋" w:cs="仿宋"/>
          <w:sz w:val="28"/>
          <w:szCs w:val="28"/>
        </w:rPr>
      </w:pPr>
      <w:r>
        <w:rPr>
          <w:rFonts w:hint="eastAsia" w:ascii="仿宋" w:hAnsi="仿宋" w:eastAsia="仿宋" w:cs="仿宋"/>
          <w:sz w:val="28"/>
          <w:szCs w:val="28"/>
        </w:rPr>
        <w:t>2.专家</w:t>
      </w:r>
      <w:r>
        <w:rPr>
          <w:rFonts w:ascii="仿宋" w:hAnsi="仿宋" w:eastAsia="仿宋" w:cs="仿宋"/>
          <w:sz w:val="28"/>
          <w:szCs w:val="28"/>
        </w:rPr>
        <w:t>工作组负责</w:t>
      </w:r>
      <w:r>
        <w:rPr>
          <w:rFonts w:hint="eastAsia" w:ascii="仿宋" w:hAnsi="仿宋" w:eastAsia="仿宋" w:cs="仿宋"/>
          <w:sz w:val="28"/>
          <w:szCs w:val="28"/>
        </w:rPr>
        <w:t>线上</w:t>
      </w:r>
      <w:r>
        <w:rPr>
          <w:rFonts w:ascii="仿宋" w:hAnsi="仿宋" w:eastAsia="仿宋" w:cs="仿宋"/>
          <w:sz w:val="28"/>
          <w:szCs w:val="28"/>
        </w:rPr>
        <w:t>审阅学院自评报告及支撑材料</w:t>
      </w:r>
      <w:r>
        <w:rPr>
          <w:rFonts w:hint="eastAsia" w:ascii="仿宋" w:hAnsi="仿宋" w:eastAsia="仿宋" w:cs="仿宋"/>
          <w:sz w:val="28"/>
          <w:szCs w:val="28"/>
        </w:rPr>
        <w:t>、</w:t>
      </w:r>
      <w:r>
        <w:rPr>
          <w:rFonts w:ascii="仿宋" w:hAnsi="仿宋" w:eastAsia="仿宋" w:cs="仿宋"/>
          <w:sz w:val="28"/>
          <w:szCs w:val="28"/>
        </w:rPr>
        <w:t>教学档案</w:t>
      </w:r>
      <w:r>
        <w:rPr>
          <w:rFonts w:hint="eastAsia" w:ascii="仿宋" w:hAnsi="仿宋" w:eastAsia="仿宋" w:cs="仿宋"/>
          <w:sz w:val="28"/>
          <w:szCs w:val="28"/>
        </w:rPr>
        <w:t>及</w:t>
      </w:r>
      <w:r>
        <w:rPr>
          <w:rFonts w:ascii="仿宋" w:hAnsi="仿宋" w:eastAsia="仿宋" w:cs="仿宋"/>
          <w:sz w:val="28"/>
          <w:szCs w:val="28"/>
        </w:rPr>
        <w:t>线下入院考察，</w:t>
      </w:r>
      <w:r>
        <w:rPr>
          <w:rFonts w:hint="eastAsia" w:ascii="仿宋" w:hAnsi="仿宋" w:eastAsia="仿宋" w:cs="仿宋"/>
          <w:sz w:val="28"/>
          <w:szCs w:val="28"/>
        </w:rPr>
        <w:t>提出学院</w:t>
      </w:r>
      <w:r>
        <w:rPr>
          <w:rFonts w:ascii="仿宋" w:hAnsi="仿宋" w:eastAsia="仿宋" w:cs="仿宋"/>
          <w:sz w:val="28"/>
          <w:szCs w:val="28"/>
        </w:rPr>
        <w:t>存在的问题及改进意见。</w:t>
      </w:r>
    </w:p>
    <w:p>
      <w:pPr>
        <w:adjustRightInd w:val="0"/>
        <w:snapToGrid w:val="0"/>
        <w:spacing w:line="360" w:lineRule="auto"/>
        <w:ind w:firstLine="561"/>
        <w:rPr>
          <w:rFonts w:hint="eastAsia" w:ascii="仿宋" w:hAnsi="仿宋" w:eastAsia="仿宋" w:cs="仿宋"/>
          <w:sz w:val="28"/>
          <w:szCs w:val="28"/>
        </w:rPr>
      </w:pPr>
      <w:r>
        <w:rPr>
          <w:rFonts w:hint="eastAsia" w:ascii="仿宋" w:hAnsi="仿宋" w:eastAsia="仿宋" w:cs="仿宋"/>
          <w:sz w:val="28"/>
          <w:szCs w:val="28"/>
        </w:rPr>
        <w:t>专家工作组分6组，每组6人，由评估认证专家、教学名师、学院教学副院长、本科生院处级领导及秘书组成。</w:t>
      </w:r>
    </w:p>
    <w:p>
      <w:pPr>
        <w:adjustRightInd w:val="0"/>
        <w:snapToGrid w:val="0"/>
        <w:spacing w:line="360" w:lineRule="auto"/>
        <w:ind w:firstLine="561"/>
        <w:rPr>
          <w:rFonts w:ascii="仿宋" w:hAnsi="仿宋" w:eastAsia="仿宋" w:cs="仿宋"/>
          <w:sz w:val="28"/>
          <w:szCs w:val="28"/>
        </w:rPr>
      </w:pPr>
      <w:r>
        <w:rPr>
          <w:rFonts w:hint="eastAsia" w:ascii="仿宋" w:hAnsi="仿宋" w:eastAsia="仿宋" w:cs="仿宋"/>
          <w:sz w:val="28"/>
          <w:szCs w:val="28"/>
        </w:rPr>
        <w:t>专家工作组成员及分工详见下表。</w:t>
      </w:r>
    </w:p>
    <w:tbl>
      <w:tblPr>
        <w:tblStyle w:val="5"/>
        <w:tblW w:w="8662" w:type="dxa"/>
        <w:jc w:val="center"/>
        <w:tblLayout w:type="fixed"/>
        <w:tblCellMar>
          <w:top w:w="0" w:type="dxa"/>
          <w:left w:w="108" w:type="dxa"/>
          <w:bottom w:w="0" w:type="dxa"/>
          <w:right w:w="108" w:type="dxa"/>
        </w:tblCellMar>
      </w:tblPr>
      <w:tblGrid>
        <w:gridCol w:w="747"/>
        <w:gridCol w:w="1957"/>
        <w:gridCol w:w="1523"/>
        <w:gridCol w:w="1438"/>
        <w:gridCol w:w="1450"/>
        <w:gridCol w:w="1547"/>
      </w:tblGrid>
      <w:tr>
        <w:tblPrEx>
          <w:tblCellMar>
            <w:top w:w="0" w:type="dxa"/>
            <w:left w:w="108" w:type="dxa"/>
            <w:bottom w:w="0" w:type="dxa"/>
            <w:right w:w="108" w:type="dxa"/>
          </w:tblCellMar>
        </w:tblPrEx>
        <w:trPr>
          <w:trHeight w:val="51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组别</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专家组成员</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所属单位</w:t>
            </w:r>
          </w:p>
        </w:tc>
        <w:tc>
          <w:tcPr>
            <w:tcW w:w="4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考察学院</w:t>
            </w:r>
          </w:p>
        </w:tc>
      </w:tr>
      <w:tr>
        <w:tblPrEx>
          <w:tblCellMar>
            <w:top w:w="0" w:type="dxa"/>
            <w:left w:w="108" w:type="dxa"/>
            <w:bottom w:w="0" w:type="dxa"/>
            <w:right w:w="108" w:type="dxa"/>
          </w:tblCellMar>
        </w:tblPrEx>
        <w:trPr>
          <w:trHeight w:val="323" w:hRule="exact"/>
          <w:jc w:val="center"/>
        </w:trPr>
        <w:tc>
          <w:tcPr>
            <w:tcW w:w="747"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王喜莲（组长）</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电气学院</w:t>
            </w:r>
          </w:p>
        </w:tc>
        <w:tc>
          <w:tcPr>
            <w:tcW w:w="1438"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电信学院</w:t>
            </w:r>
          </w:p>
        </w:tc>
        <w:tc>
          <w:tcPr>
            <w:tcW w:w="1450"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机电学院</w:t>
            </w:r>
          </w:p>
        </w:tc>
        <w:tc>
          <w:tcPr>
            <w:tcW w:w="1547"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软件学院</w:t>
            </w: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李清勇</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詹天佑学院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黄辉</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电气学院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陈军华</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运输学院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于桂兰</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土建学院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李巍巍（秘书）</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本科生院</w:t>
            </w:r>
          </w:p>
        </w:tc>
        <w:tc>
          <w:tcPr>
            <w:tcW w:w="1438"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史红梅</w:t>
            </w:r>
            <w:r>
              <w:rPr>
                <w:rFonts w:hint="eastAsia" w:ascii="仿宋" w:hAnsi="仿宋" w:eastAsia="仿宋" w:cs="仿宋"/>
                <w:color w:val="000000"/>
                <w:sz w:val="24"/>
                <w:szCs w:val="24"/>
              </w:rPr>
              <w:t>（组长）</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机电学院</w:t>
            </w:r>
          </w:p>
        </w:tc>
        <w:tc>
          <w:tcPr>
            <w:tcW w:w="1438"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计算机学院</w:t>
            </w:r>
          </w:p>
        </w:tc>
        <w:tc>
          <w:tcPr>
            <w:tcW w:w="1450"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运输学院</w:t>
            </w:r>
          </w:p>
        </w:tc>
        <w:tc>
          <w:tcPr>
            <w:tcW w:w="1547"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威海校区 </w:t>
            </w: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邢薇薇</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软件学院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邵小桃</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电信学院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孔令臣</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数统学院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王爱民</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环境学院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柴莹（秘书）</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本科生院</w:t>
            </w:r>
          </w:p>
        </w:tc>
        <w:tc>
          <w:tcPr>
            <w:tcW w:w="1438"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杨娜</w:t>
            </w:r>
            <w:r>
              <w:rPr>
                <w:rFonts w:hint="eastAsia" w:ascii="仿宋" w:hAnsi="仿宋" w:eastAsia="仿宋" w:cs="仿宋"/>
                <w:color w:val="000000"/>
                <w:sz w:val="24"/>
                <w:szCs w:val="24"/>
              </w:rPr>
              <w:t>（组长）</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土建学院</w:t>
            </w:r>
          </w:p>
        </w:tc>
        <w:tc>
          <w:tcPr>
            <w:tcW w:w="1438"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电气学院</w:t>
            </w:r>
          </w:p>
        </w:tc>
        <w:tc>
          <w:tcPr>
            <w:tcW w:w="1450"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物工学院</w:t>
            </w:r>
          </w:p>
        </w:tc>
        <w:tc>
          <w:tcPr>
            <w:tcW w:w="1547"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詹天佑学院</w:t>
            </w: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景云</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本科生院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王志海</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计算机学院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陶丹</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电信学院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张顺利</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软件学院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常欢（秘书）</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本科生院</w:t>
            </w:r>
          </w:p>
        </w:tc>
        <w:tc>
          <w:tcPr>
            <w:tcW w:w="1438"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陈后金（组长）</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电信学院</w:t>
            </w:r>
          </w:p>
        </w:tc>
        <w:tc>
          <w:tcPr>
            <w:tcW w:w="1438" w:type="dxa"/>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土建学院</w:t>
            </w:r>
          </w:p>
        </w:tc>
        <w:tc>
          <w:tcPr>
            <w:tcW w:w="1450" w:type="dxa"/>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数统学院</w:t>
            </w:r>
          </w:p>
        </w:tc>
        <w:tc>
          <w:tcPr>
            <w:tcW w:w="1547" w:type="dxa"/>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环境学院</w:t>
            </w: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张华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本科生院</w:t>
            </w:r>
          </w:p>
        </w:tc>
        <w:tc>
          <w:tcPr>
            <w:tcW w:w="1438" w:type="dxa"/>
            <w:vMerge w:val="continue"/>
            <w:tcBorders>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刘志明</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机电学院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熊轲</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计算机学院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彭继迎</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物工学院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岳冶（秘书）</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本科生院</w:t>
            </w:r>
          </w:p>
        </w:tc>
        <w:tc>
          <w:tcPr>
            <w:tcW w:w="1438"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宋守信</w:t>
            </w:r>
            <w:r>
              <w:rPr>
                <w:rFonts w:hint="eastAsia" w:ascii="仿宋" w:hAnsi="仿宋" w:eastAsia="仿宋" w:cs="仿宋"/>
                <w:color w:val="000000"/>
                <w:sz w:val="24"/>
                <w:szCs w:val="24"/>
              </w:rPr>
              <w:t>（组长）</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经管学院</w:t>
            </w:r>
          </w:p>
        </w:tc>
        <w:tc>
          <w:tcPr>
            <w:tcW w:w="1438"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经管学院</w:t>
            </w:r>
          </w:p>
        </w:tc>
        <w:tc>
          <w:tcPr>
            <w:tcW w:w="1450"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法学院</w:t>
            </w:r>
          </w:p>
        </w:tc>
        <w:tc>
          <w:tcPr>
            <w:tcW w:w="1547"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马克思学院</w:t>
            </w: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宋瑞</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本科生院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刘凯</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语传学院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张野</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建艺学院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闻学</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语传学院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张钰惠（秘书）</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本科生院</w:t>
            </w:r>
          </w:p>
        </w:tc>
        <w:tc>
          <w:tcPr>
            <w:tcW w:w="1438"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450"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c>
          <w:tcPr>
            <w:tcW w:w="154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23" w:hRule="exact"/>
          <w:jc w:val="center"/>
        </w:trPr>
        <w:tc>
          <w:tcPr>
            <w:tcW w:w="747"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周耀东（组长）</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经管学院</w:t>
            </w:r>
          </w:p>
        </w:tc>
        <w:tc>
          <w:tcPr>
            <w:tcW w:w="1438"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语传学院</w:t>
            </w:r>
          </w:p>
        </w:tc>
        <w:tc>
          <w:tcPr>
            <w:tcW w:w="1450"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建艺学院</w:t>
            </w:r>
          </w:p>
        </w:tc>
        <w:tc>
          <w:tcPr>
            <w:tcW w:w="1547" w:type="dxa"/>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体育部</w:t>
            </w: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赵暘</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体育部</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2"/>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2"/>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刘伊生</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经管学院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2"/>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2"/>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朱本欣</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2"/>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2"/>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闫长丽</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马克思学院</w:t>
            </w:r>
          </w:p>
        </w:tc>
        <w:tc>
          <w:tcPr>
            <w:tcW w:w="1438"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2"/>
              </w:rPr>
            </w:pPr>
          </w:p>
        </w:tc>
        <w:tc>
          <w:tcPr>
            <w:tcW w:w="1450"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2"/>
              </w:rPr>
            </w:pPr>
          </w:p>
        </w:tc>
        <w:tc>
          <w:tcPr>
            <w:tcW w:w="1547" w:type="dxa"/>
            <w:vMerge w:val="continue"/>
            <w:tcBorders>
              <w:left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23" w:hRule="exact"/>
          <w:jc w:val="center"/>
        </w:trPr>
        <w:tc>
          <w:tcPr>
            <w:tcW w:w="74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董雪（秘书）</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本科生院</w:t>
            </w:r>
          </w:p>
        </w:tc>
        <w:tc>
          <w:tcPr>
            <w:tcW w:w="1438"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2"/>
              </w:rPr>
            </w:pPr>
          </w:p>
        </w:tc>
        <w:tc>
          <w:tcPr>
            <w:tcW w:w="1450"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2"/>
              </w:rPr>
            </w:pPr>
          </w:p>
        </w:tc>
        <w:tc>
          <w:tcPr>
            <w:tcW w:w="1547" w:type="dxa"/>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spacing w:line="280" w:lineRule="exact"/>
              <w:jc w:val="center"/>
              <w:rPr>
                <w:rFonts w:ascii="宋体" w:hAnsi="宋体" w:eastAsia="宋体" w:cs="宋体"/>
                <w:color w:val="000000"/>
                <w:sz w:val="22"/>
              </w:rPr>
            </w:pPr>
          </w:p>
        </w:tc>
      </w:tr>
    </w:tbl>
    <w:p>
      <w:pPr>
        <w:numPr>
          <w:ilvl w:val="0"/>
          <w:numId w:val="1"/>
        </w:numPr>
        <w:adjustRightInd w:val="0"/>
        <w:snapToGrid w:val="0"/>
        <w:spacing w:before="156" w:beforeLines="50" w:line="360" w:lineRule="auto"/>
        <w:ind w:firstLine="561"/>
        <w:outlineLvl w:val="1"/>
        <w:rPr>
          <w:rFonts w:ascii="黑体" w:hAnsi="黑体" w:eastAsia="黑体" w:cs="黑体"/>
          <w:sz w:val="28"/>
          <w:szCs w:val="28"/>
        </w:rPr>
      </w:pPr>
      <w:r>
        <w:rPr>
          <w:rFonts w:hint="eastAsia" w:ascii="黑体" w:hAnsi="黑体" w:eastAsia="黑体" w:cs="黑体"/>
          <w:sz w:val="28"/>
          <w:szCs w:val="28"/>
        </w:rPr>
        <w:t>时间安排及任务</w:t>
      </w:r>
    </w:p>
    <w:tbl>
      <w:tblPr>
        <w:tblStyle w:val="5"/>
        <w:tblW w:w="10546" w:type="dxa"/>
        <w:jc w:val="center"/>
        <w:tblLayout w:type="autofit"/>
        <w:tblCellMar>
          <w:top w:w="0" w:type="dxa"/>
          <w:left w:w="108" w:type="dxa"/>
          <w:bottom w:w="0" w:type="dxa"/>
          <w:right w:w="108" w:type="dxa"/>
        </w:tblCellMar>
      </w:tblPr>
      <w:tblGrid>
        <w:gridCol w:w="1144"/>
        <w:gridCol w:w="1119"/>
        <w:gridCol w:w="2341"/>
        <w:gridCol w:w="2638"/>
        <w:gridCol w:w="1976"/>
        <w:gridCol w:w="1328"/>
      </w:tblGrid>
      <w:tr>
        <w:tblPrEx>
          <w:tblCellMar>
            <w:top w:w="0" w:type="dxa"/>
            <w:left w:w="108" w:type="dxa"/>
            <w:bottom w:w="0" w:type="dxa"/>
            <w:right w:w="108" w:type="dxa"/>
          </w:tblCellMar>
        </w:tblPrEx>
        <w:trPr>
          <w:trHeight w:val="370" w:hRule="atLeast"/>
          <w:jc w:val="center"/>
        </w:trPr>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时间</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项目</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专家工作内容</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秘书工作内容</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学院工作内容</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备注</w:t>
            </w:r>
          </w:p>
        </w:tc>
      </w:tr>
      <w:tr>
        <w:tblPrEx>
          <w:tblCellMar>
            <w:top w:w="0" w:type="dxa"/>
            <w:left w:w="108" w:type="dxa"/>
            <w:bottom w:w="0" w:type="dxa"/>
            <w:right w:w="108" w:type="dxa"/>
          </w:tblCellMar>
        </w:tblPrEx>
        <w:trPr>
          <w:trHeight w:val="23" w:hRule="atLeast"/>
          <w:jc w:val="center"/>
        </w:trPr>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7月3日  14:30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专家考察部署暨培训会</w:t>
            </w:r>
          </w:p>
        </w:tc>
        <w:tc>
          <w:tcPr>
            <w:tcW w:w="2341"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参加培训会，学习领会新一轮本科教育教学审核评估指标内涵，学习落实专家组工作部署要求，组长组织做好本组考察工作计划和安排。</w:t>
            </w:r>
          </w:p>
        </w:tc>
        <w:tc>
          <w:tcPr>
            <w:tcW w:w="263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协助组长做好专家组评估前的各项准备工作，包括组建专家微信群、协调时间、会议准备等。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仿宋" w:hAnsi="仿宋" w:eastAsia="仿宋" w:cs="仿宋"/>
                <w:b/>
                <w:bCs/>
                <w:color w:val="000000"/>
                <w:sz w:val="24"/>
                <w:szCs w:val="24"/>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color w:val="000000"/>
                <w:sz w:val="24"/>
                <w:szCs w:val="24"/>
              </w:rPr>
            </w:pPr>
          </w:p>
        </w:tc>
      </w:tr>
      <w:tr>
        <w:tblPrEx>
          <w:tblCellMar>
            <w:top w:w="0" w:type="dxa"/>
            <w:left w:w="108" w:type="dxa"/>
            <w:bottom w:w="0" w:type="dxa"/>
            <w:right w:w="108" w:type="dxa"/>
          </w:tblCellMar>
        </w:tblPrEx>
        <w:trPr>
          <w:trHeight w:val="3650" w:hRule="atLeast"/>
          <w:jc w:val="center"/>
        </w:trPr>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7月3日-7月7日</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专家线上评审</w:t>
            </w:r>
          </w:p>
        </w:tc>
        <w:tc>
          <w:tcPr>
            <w:tcW w:w="2341"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w:t>
            </w:r>
            <w:r>
              <w:rPr>
                <w:rFonts w:hint="eastAsia" w:ascii="仿宋" w:hAnsi="仿宋" w:eastAsia="仿宋" w:cs="仿宋"/>
                <w:b/>
                <w:bCs/>
                <w:color w:val="000000"/>
                <w:kern w:val="0"/>
                <w:sz w:val="24"/>
                <w:szCs w:val="24"/>
                <w:highlight w:val="none"/>
                <w:lang w:bidi="ar"/>
              </w:rPr>
              <w:t>审阅学院自评报告及支撑材料</w:t>
            </w:r>
            <w:r>
              <w:rPr>
                <w:rFonts w:hint="eastAsia" w:ascii="仿宋" w:hAnsi="仿宋" w:eastAsia="仿宋" w:cs="仿宋"/>
                <w:color w:val="000000"/>
                <w:kern w:val="0"/>
                <w:sz w:val="24"/>
                <w:szCs w:val="24"/>
                <w:highlight w:val="none"/>
                <w:lang w:bidi="ar"/>
              </w:rPr>
              <w:t>，根据审阅情况形成</w:t>
            </w:r>
            <w:r>
              <w:rPr>
                <w:rFonts w:hint="eastAsia" w:ascii="仿宋" w:hAnsi="仿宋" w:eastAsia="仿宋" w:cs="仿宋"/>
                <w:b/>
                <w:bCs/>
                <w:color w:val="000000"/>
                <w:kern w:val="0"/>
                <w:sz w:val="24"/>
                <w:szCs w:val="24"/>
                <w:highlight w:val="none"/>
                <w:lang w:bidi="ar"/>
              </w:rPr>
              <w:t>《自评报告问题清单》</w:t>
            </w:r>
            <w:r>
              <w:rPr>
                <w:rFonts w:hint="eastAsia" w:ascii="仿宋" w:hAnsi="仿宋" w:eastAsia="仿宋" w:cs="仿宋"/>
                <w:color w:val="000000"/>
                <w:kern w:val="0"/>
                <w:sz w:val="24"/>
                <w:szCs w:val="24"/>
                <w:highlight w:val="none"/>
                <w:lang w:bidi="ar"/>
              </w:rPr>
              <w:t>；</w:t>
            </w:r>
          </w:p>
          <w:p>
            <w:pPr>
              <w:widowControl/>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bidi="ar"/>
              </w:rPr>
              <w:t>2.检查教学档案材料，其中</w:t>
            </w:r>
            <w:r>
              <w:rPr>
                <w:rFonts w:hint="eastAsia" w:ascii="仿宋" w:hAnsi="仿宋" w:eastAsia="仿宋" w:cs="仿宋"/>
                <w:b/>
                <w:bCs/>
                <w:color w:val="000000"/>
                <w:kern w:val="0"/>
                <w:sz w:val="24"/>
                <w:szCs w:val="24"/>
                <w:highlight w:val="none"/>
                <w:lang w:bidi="ar"/>
              </w:rPr>
              <w:t>每名专家至少抽查课程档案3门、毕业设计材料10份</w:t>
            </w:r>
            <w:r>
              <w:rPr>
                <w:rFonts w:hint="eastAsia" w:ascii="仿宋" w:hAnsi="仿宋" w:eastAsia="仿宋" w:cs="仿宋"/>
                <w:color w:val="000000"/>
                <w:kern w:val="0"/>
                <w:sz w:val="24"/>
                <w:szCs w:val="24"/>
                <w:highlight w:val="none"/>
                <w:lang w:bidi="ar"/>
              </w:rPr>
              <w:t>，</w:t>
            </w:r>
            <w:r>
              <w:rPr>
                <w:rFonts w:hint="eastAsia" w:ascii="仿宋" w:hAnsi="仿宋" w:eastAsia="仿宋" w:cs="仿宋"/>
                <w:b/>
                <w:bCs/>
                <w:color w:val="000000"/>
                <w:kern w:val="0"/>
                <w:sz w:val="24"/>
                <w:szCs w:val="24"/>
                <w:highlight w:val="none"/>
                <w:lang w:bidi="ar"/>
              </w:rPr>
              <w:t>专业档案检查专家组全覆盖，</w:t>
            </w:r>
            <w:r>
              <w:rPr>
                <w:rFonts w:hint="eastAsia" w:ascii="仿宋" w:hAnsi="仿宋" w:eastAsia="仿宋" w:cs="仿宋"/>
                <w:color w:val="000000"/>
                <w:kern w:val="0"/>
                <w:sz w:val="24"/>
                <w:szCs w:val="24"/>
                <w:highlight w:val="none"/>
                <w:lang w:bidi="ar"/>
              </w:rPr>
              <w:t>根据检查情况形成</w:t>
            </w:r>
            <w:r>
              <w:rPr>
                <w:rFonts w:hint="eastAsia" w:ascii="仿宋" w:hAnsi="仿宋" w:eastAsia="仿宋" w:cs="仿宋"/>
                <w:b/>
                <w:bCs/>
                <w:color w:val="000000"/>
                <w:kern w:val="0"/>
                <w:sz w:val="24"/>
                <w:szCs w:val="24"/>
                <w:highlight w:val="none"/>
                <w:lang w:bidi="ar"/>
              </w:rPr>
              <w:t>《教学档案问题清单》，教学档案规范详见附件</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val="en-US" w:eastAsia="zh-CN" w:bidi="ar"/>
              </w:rPr>
              <w:t>3.根据自评报告、支撑材料和教学档案审阅情况，形成</w:t>
            </w:r>
            <w:r>
              <w:rPr>
                <w:rFonts w:hint="eastAsia" w:ascii="仿宋" w:hAnsi="仿宋" w:eastAsia="仿宋" w:cs="仿宋"/>
                <w:b/>
                <w:bCs/>
                <w:color w:val="000000"/>
                <w:kern w:val="0"/>
                <w:sz w:val="24"/>
                <w:szCs w:val="24"/>
                <w:highlight w:val="none"/>
                <w:lang w:val="en-US" w:eastAsia="zh-CN" w:bidi="ar"/>
              </w:rPr>
              <w:t>《入院考察重点》。</w:t>
            </w:r>
          </w:p>
        </w:tc>
        <w:tc>
          <w:tcPr>
            <w:tcW w:w="263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1.汇总整理专家调阅档案清单；</w:t>
            </w:r>
          </w:p>
          <w:p>
            <w:pPr>
              <w:widowControl/>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2.汇总整理系统中不包含的材料内容，统一向学院提出补充调阅需求；</w:t>
            </w:r>
          </w:p>
          <w:p>
            <w:pPr>
              <w:widowControl/>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3.收集全部专家个人线上问题清单</w:t>
            </w:r>
            <w:r>
              <w:rPr>
                <w:rFonts w:hint="eastAsia" w:ascii="仿宋" w:hAnsi="仿宋" w:eastAsia="仿宋" w:cs="仿宋"/>
                <w:color w:val="000000"/>
                <w:kern w:val="0"/>
                <w:sz w:val="24"/>
                <w:szCs w:val="24"/>
                <w:highlight w:val="none"/>
                <w:lang w:val="en-US" w:eastAsia="zh-CN" w:bidi="ar"/>
              </w:rPr>
              <w:t>和入院考察重点</w:t>
            </w:r>
            <w:r>
              <w:rPr>
                <w:rFonts w:hint="eastAsia" w:ascii="仿宋" w:hAnsi="仿宋" w:eastAsia="仿宋" w:cs="仿宋"/>
                <w:color w:val="000000"/>
                <w:kern w:val="0"/>
                <w:sz w:val="24"/>
                <w:szCs w:val="24"/>
                <w:highlight w:val="none"/>
                <w:lang w:bidi="ar"/>
              </w:rPr>
              <w:t>，采取“删除重复项、合并同类项、分解混合项、移动错位项”等方法，进行梳理整合，提交给专家组；</w:t>
            </w:r>
          </w:p>
          <w:p>
            <w:pPr>
              <w:widowControl/>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4.做好会议及工作记录，收集各专家考察工作安排报领导组办公室。</w:t>
            </w:r>
          </w:p>
        </w:tc>
        <w:tc>
          <w:tcPr>
            <w:tcW w:w="1976"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积极配合专家做好考察过程中协调沟通、疑问解答、材料补充等工作。</w:t>
            </w:r>
          </w:p>
        </w:tc>
        <w:tc>
          <w:tcPr>
            <w:tcW w:w="132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评审前组长组织召开工作布置会，明确评审要求，统筹工作安排，做到各专家调阅的课程档案及毕业设计材料不重复，确保覆盖面。</w:t>
            </w:r>
          </w:p>
          <w:p>
            <w:pPr>
              <w:widowControl/>
              <w:rPr>
                <w:rFonts w:hint="eastAsia" w:ascii="仿宋" w:hAnsi="仿宋" w:eastAsia="仿宋" w:cs="仿宋"/>
                <w:color w:val="000000"/>
                <w:kern w:val="0"/>
                <w:sz w:val="24"/>
                <w:szCs w:val="24"/>
                <w:lang w:bidi="ar"/>
              </w:rPr>
            </w:pPr>
          </w:p>
        </w:tc>
      </w:tr>
      <w:tr>
        <w:tblPrEx>
          <w:tblCellMar>
            <w:top w:w="0" w:type="dxa"/>
            <w:left w:w="108" w:type="dxa"/>
            <w:bottom w:w="0" w:type="dxa"/>
            <w:right w:w="108" w:type="dxa"/>
          </w:tblCellMar>
        </w:tblPrEx>
        <w:trPr>
          <w:trHeight w:val="23" w:hRule="atLeast"/>
          <w:jc w:val="center"/>
        </w:trPr>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7月10日-7月1</w:t>
            </w: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日</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专家入院考察</w:t>
            </w:r>
          </w:p>
        </w:tc>
        <w:tc>
          <w:tcPr>
            <w:tcW w:w="2341"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1.专家组组长主持专家考察见面会，听取学院汇报本科教育教学工作情况；</w:t>
            </w:r>
          </w:p>
          <w:p>
            <w:pPr>
              <w:widowControl/>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2.反馈线上评审意见，了解线上评审存疑问题，并与学院领导、教师深入座谈；</w:t>
            </w:r>
          </w:p>
          <w:p>
            <w:pPr>
              <w:widowControl/>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3.综合线上、线下考察情况，形成学院评估</w:t>
            </w:r>
            <w:r>
              <w:rPr>
                <w:rFonts w:hint="eastAsia" w:ascii="仿宋" w:hAnsi="仿宋" w:eastAsia="仿宋" w:cs="仿宋"/>
                <w:b/>
                <w:bCs/>
                <w:color w:val="000000"/>
                <w:kern w:val="0"/>
                <w:sz w:val="24"/>
                <w:szCs w:val="24"/>
                <w:lang w:bidi="ar"/>
              </w:rPr>
              <w:t>《专家考察意见表</w:t>
            </w:r>
            <w:r>
              <w:rPr>
                <w:rFonts w:hint="eastAsia" w:ascii="仿宋" w:hAnsi="仿宋" w:eastAsia="仿宋" w:cs="仿宋"/>
                <w:b/>
                <w:color w:val="000000"/>
                <w:kern w:val="0"/>
                <w:sz w:val="24"/>
                <w:szCs w:val="24"/>
                <w:lang w:bidi="ar"/>
              </w:rPr>
              <w:t>》</w:t>
            </w:r>
            <w:r>
              <w:rPr>
                <w:rFonts w:hint="eastAsia" w:ascii="仿宋" w:hAnsi="仿宋" w:eastAsia="仿宋" w:cs="仿宋"/>
                <w:color w:val="000000"/>
                <w:kern w:val="0"/>
                <w:sz w:val="24"/>
                <w:szCs w:val="24"/>
                <w:lang w:bidi="ar"/>
              </w:rPr>
              <w:t>。</w:t>
            </w:r>
          </w:p>
        </w:tc>
        <w:tc>
          <w:tcPr>
            <w:tcW w:w="263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1.做好专家组与学院之间的沟通服务工作；</w:t>
            </w:r>
          </w:p>
          <w:p>
            <w:pPr>
              <w:widowControl/>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2.做好会议记录及各种评估材料、评审意见、评价结果等材料的收集、汇总和统计工作，形成</w:t>
            </w:r>
            <w:r>
              <w:rPr>
                <w:rFonts w:hint="eastAsia" w:ascii="仿宋" w:hAnsi="仿宋" w:eastAsia="仿宋" w:cs="仿宋"/>
                <w:b/>
                <w:bCs/>
                <w:color w:val="000000"/>
                <w:kern w:val="0"/>
                <w:sz w:val="24"/>
                <w:szCs w:val="24"/>
                <w:lang w:bidi="ar"/>
              </w:rPr>
              <w:t>《现场考察记录表》；</w:t>
            </w:r>
          </w:p>
          <w:p>
            <w:pPr>
              <w:widowControl/>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3.收集全部专家考察意见，进行梳理整合，提交给专家组组长。</w:t>
            </w:r>
          </w:p>
        </w:tc>
        <w:tc>
          <w:tcPr>
            <w:tcW w:w="1976"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1.做好专家考察见面会组织工作，汇报本科教学改革建设情况及学院评估工作开展情况，学院主要负责人和相关负责人、专业负责人、教学科相关人员参加会议。</w:t>
            </w:r>
          </w:p>
          <w:p>
            <w:pP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2.做好专家入院考察前后的协调沟通、组织筹备工作，包括专家对接、</w:t>
            </w:r>
            <w:r>
              <w:rPr>
                <w:rFonts w:hint="eastAsia" w:ascii="仿宋" w:hAnsi="仿宋" w:eastAsia="仿宋" w:cs="仿宋"/>
                <w:color w:val="000000"/>
                <w:kern w:val="0"/>
                <w:sz w:val="24"/>
                <w:szCs w:val="24"/>
                <w:lang w:val="en-US" w:eastAsia="zh-CN" w:bidi="ar"/>
              </w:rPr>
              <w:t>会务工作</w:t>
            </w:r>
            <w:r>
              <w:rPr>
                <w:rFonts w:hint="eastAsia" w:ascii="仿宋" w:hAnsi="仿宋" w:eastAsia="仿宋" w:cs="仿宋"/>
                <w:color w:val="000000"/>
                <w:kern w:val="0"/>
                <w:sz w:val="24"/>
                <w:szCs w:val="24"/>
                <w:lang w:bidi="ar"/>
              </w:rPr>
              <w:t>等。</w:t>
            </w:r>
          </w:p>
        </w:tc>
        <w:tc>
          <w:tcPr>
            <w:tcW w:w="132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入院前组长组织召开入院考察布置会，确定专家入院重点考察内容，明确各自的工作计划和重点任务。</w:t>
            </w:r>
          </w:p>
        </w:tc>
      </w:tr>
      <w:tr>
        <w:tblPrEx>
          <w:tblCellMar>
            <w:top w:w="0" w:type="dxa"/>
            <w:left w:w="108" w:type="dxa"/>
            <w:bottom w:w="0" w:type="dxa"/>
            <w:right w:w="108" w:type="dxa"/>
          </w:tblCellMar>
        </w:tblPrEx>
        <w:trPr>
          <w:trHeight w:val="23" w:hRule="atLeast"/>
          <w:jc w:val="center"/>
        </w:trPr>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7月</w:t>
            </w:r>
            <w:r>
              <w:rPr>
                <w:rFonts w:hint="eastAsia" w:ascii="仿宋" w:hAnsi="仿宋" w:eastAsia="仿宋" w:cs="仿宋"/>
                <w:color w:val="000000"/>
                <w:kern w:val="0"/>
                <w:sz w:val="24"/>
                <w:szCs w:val="24"/>
                <w:lang w:val="en-US" w:eastAsia="zh-CN" w:bidi="ar"/>
              </w:rPr>
              <w:t>21</w:t>
            </w:r>
            <w:r>
              <w:rPr>
                <w:rFonts w:hint="eastAsia" w:ascii="仿宋" w:hAnsi="仿宋" w:eastAsia="仿宋" w:cs="仿宋"/>
                <w:color w:val="000000"/>
                <w:kern w:val="0"/>
                <w:sz w:val="24"/>
                <w:szCs w:val="24"/>
                <w:lang w:bidi="ar"/>
              </w:rPr>
              <w:t>日前</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学校</w:t>
            </w:r>
          </w:p>
          <w:p>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反馈</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仿宋" w:hAnsi="仿宋" w:eastAsia="仿宋" w:cs="仿宋"/>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1.综合线上评审和入院考察情况，汇总整理</w:t>
            </w:r>
            <w:r>
              <w:rPr>
                <w:rFonts w:hint="eastAsia" w:ascii="仿宋" w:hAnsi="仿宋" w:eastAsia="仿宋" w:cs="仿宋"/>
                <w:b/>
                <w:bCs/>
                <w:color w:val="000000"/>
                <w:kern w:val="0"/>
                <w:sz w:val="24"/>
                <w:szCs w:val="24"/>
                <w:lang w:bidi="ar"/>
              </w:rPr>
              <w:t>《自评报告问题清单》《教学档案问题清单》《专家考察意见表》</w:t>
            </w:r>
            <w:r>
              <w:rPr>
                <w:rFonts w:hint="eastAsia" w:ascii="仿宋" w:hAnsi="仿宋" w:eastAsia="仿宋" w:cs="仿宋"/>
                <w:color w:val="000000"/>
                <w:kern w:val="0"/>
                <w:sz w:val="24"/>
                <w:szCs w:val="24"/>
                <w:lang w:bidi="ar"/>
              </w:rPr>
              <w:t>并反馈学院评估领导组办公室；</w:t>
            </w:r>
          </w:p>
          <w:p>
            <w:pPr>
              <w:widowControl/>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2.学院评估领导组办公室对其进行审核并反馈学院。</w:t>
            </w:r>
          </w:p>
        </w:tc>
        <w:tc>
          <w:tcPr>
            <w:tcW w:w="1976"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认真研读专家组相关意见，涉及问题如有解释，可作补充说明。</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3" w:hRule="atLeast"/>
          <w:jc w:val="center"/>
        </w:trPr>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7月</w:t>
            </w:r>
            <w:r>
              <w:rPr>
                <w:rFonts w:hint="eastAsia" w:ascii="仿宋" w:hAnsi="仿宋" w:eastAsia="仿宋" w:cs="仿宋"/>
                <w:color w:val="000000"/>
                <w:kern w:val="0"/>
                <w:sz w:val="24"/>
                <w:szCs w:val="24"/>
                <w:lang w:val="en-US" w:eastAsia="zh-CN" w:bidi="ar"/>
              </w:rPr>
              <w:t>下</w:t>
            </w:r>
            <w:r>
              <w:rPr>
                <w:rFonts w:hint="eastAsia" w:ascii="仿宋" w:hAnsi="仿宋" w:eastAsia="仿宋" w:cs="仿宋"/>
                <w:color w:val="000000"/>
                <w:kern w:val="0"/>
                <w:sz w:val="24"/>
                <w:szCs w:val="24"/>
                <w:lang w:bidi="ar"/>
              </w:rPr>
              <w:t>旬-教育部专家入校前</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学院</w:t>
            </w:r>
          </w:p>
          <w:p>
            <w:pPr>
              <w:widowControl/>
              <w:jc w:val="center"/>
              <w:rPr>
                <w:rFonts w:hint="eastAsia" w:ascii="仿宋" w:hAnsi="仿宋" w:eastAsia="仿宋" w:cs="仿宋"/>
                <w:color w:val="000000"/>
                <w:kern w:val="0"/>
                <w:sz w:val="24"/>
                <w:szCs w:val="24"/>
                <w:lang w:bidi="ar"/>
              </w:rPr>
            </w:pPr>
            <w:bookmarkStart w:id="1" w:name="_GoBack"/>
            <w:bookmarkEnd w:id="1"/>
            <w:r>
              <w:rPr>
                <w:rFonts w:hint="eastAsia" w:ascii="仿宋" w:hAnsi="仿宋" w:eastAsia="仿宋" w:cs="仿宋"/>
                <w:color w:val="000000"/>
                <w:kern w:val="0"/>
                <w:sz w:val="24"/>
                <w:szCs w:val="24"/>
                <w:lang w:bidi="ar"/>
              </w:rPr>
              <w:t>整改</w:t>
            </w:r>
          </w:p>
        </w:tc>
        <w:tc>
          <w:tcPr>
            <w:tcW w:w="82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1.学院根据自评自查情况、专家组考察中发现的问题及整改意见，全面落实整改工作，并根据整改后情况修订完善学院自评报告，于9月30日前提交本科生院。</w:t>
            </w:r>
          </w:p>
          <w:p>
            <w:pPr>
              <w:widowControl/>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按照教育部、学校要求，积极配合做好学校迎评各项准备工作。严格落实《北京交通大学本科主要教学环节质量标准与监控办法》《北京交通大学专业建设质量标准与监控办法》文件要求，持续规范做好教学档案建设及电子化存档工作。</w:t>
            </w:r>
          </w:p>
        </w:tc>
      </w:tr>
    </w:tbl>
    <w:p>
      <w:pPr>
        <w:adjustRightInd w:val="0"/>
        <w:snapToGrid w:val="0"/>
        <w:spacing w:before="156" w:beforeLines="50" w:line="360" w:lineRule="auto"/>
        <w:ind w:firstLine="561"/>
        <w:rPr>
          <w:rFonts w:ascii="仿宋" w:hAnsi="仿宋" w:eastAsia="仿宋" w:cs="仿宋"/>
          <w:sz w:val="28"/>
          <w:szCs w:val="28"/>
          <w:highlight w:val="none"/>
        </w:rPr>
      </w:pPr>
      <w:r>
        <w:rPr>
          <w:rFonts w:hint="eastAsia" w:ascii="仿宋" w:hAnsi="仿宋" w:eastAsia="仿宋" w:cs="仿宋"/>
          <w:sz w:val="28"/>
          <w:szCs w:val="28"/>
          <w:highlight w:val="none"/>
        </w:rPr>
        <w:t>专家入院考察时间为7月</w:t>
      </w:r>
      <w:r>
        <w:rPr>
          <w:rFonts w:ascii="仿宋" w:hAnsi="仿宋" w:eastAsia="仿宋" w:cs="仿宋"/>
          <w:sz w:val="28"/>
          <w:szCs w:val="28"/>
          <w:highlight w:val="none"/>
        </w:rPr>
        <w:t>10</w:t>
      </w:r>
      <w:r>
        <w:rPr>
          <w:rFonts w:hint="eastAsia" w:ascii="仿宋" w:hAnsi="仿宋" w:eastAsia="仿宋" w:cs="仿宋"/>
          <w:sz w:val="28"/>
          <w:szCs w:val="28"/>
          <w:highlight w:val="none"/>
        </w:rPr>
        <w:t>日-7月1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日，共计</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个</w:t>
      </w:r>
      <w:r>
        <w:rPr>
          <w:rFonts w:ascii="仿宋" w:hAnsi="仿宋" w:eastAsia="仿宋" w:cs="仿宋"/>
          <w:sz w:val="28"/>
          <w:szCs w:val="28"/>
          <w:highlight w:val="none"/>
        </w:rPr>
        <w:t>工作日</w:t>
      </w:r>
      <w:r>
        <w:rPr>
          <w:rFonts w:hint="eastAsia" w:ascii="仿宋" w:hAnsi="仿宋" w:eastAsia="仿宋" w:cs="仿宋"/>
          <w:sz w:val="28"/>
          <w:szCs w:val="28"/>
          <w:highlight w:val="none"/>
        </w:rPr>
        <w:t>；每个</w:t>
      </w:r>
      <w:r>
        <w:rPr>
          <w:rFonts w:ascii="仿宋" w:hAnsi="仿宋" w:eastAsia="仿宋" w:cs="仿宋"/>
          <w:sz w:val="28"/>
          <w:szCs w:val="28"/>
          <w:highlight w:val="none"/>
        </w:rPr>
        <w:t>学院入院考察时间约</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小时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初步拟定各专家组入院</w:t>
      </w:r>
      <w:r>
        <w:rPr>
          <w:rFonts w:hint="eastAsia" w:ascii="仿宋" w:hAnsi="仿宋" w:eastAsia="仿宋" w:cs="仿宋"/>
          <w:sz w:val="28"/>
          <w:szCs w:val="28"/>
          <w:highlight w:val="none"/>
          <w:lang w:val="en-US" w:eastAsia="zh-CN"/>
        </w:rPr>
        <w:t>考察安排</w:t>
      </w:r>
      <w:r>
        <w:rPr>
          <w:rFonts w:hint="eastAsia" w:ascii="仿宋" w:hAnsi="仿宋" w:eastAsia="仿宋" w:cs="仿宋"/>
          <w:sz w:val="28"/>
          <w:szCs w:val="28"/>
          <w:highlight w:val="none"/>
        </w:rPr>
        <w:t>如下表所示。</w:t>
      </w:r>
    </w:p>
    <w:tbl>
      <w:tblPr>
        <w:tblStyle w:val="5"/>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984"/>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4" w:type="dxa"/>
            <w:shd w:val="clear" w:color="auto" w:fill="auto"/>
            <w:vAlign w:val="center"/>
          </w:tcPr>
          <w:p>
            <w:pPr>
              <w:widowControl/>
              <w:adjustRightInd w:val="0"/>
              <w:snapToGrid w:val="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rPr>
              <w:t>时间</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7月10日</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7月11日</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7月12日</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7月13日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4" w:type="dxa"/>
            <w:shd w:val="clear" w:color="auto" w:fill="auto"/>
            <w:vAlign w:val="center"/>
          </w:tcPr>
          <w:p>
            <w:pPr>
              <w:widowControl/>
              <w:adjustRightInd w:val="0"/>
              <w:snapToGrid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8:30-1</w:t>
            </w:r>
            <w:r>
              <w:rPr>
                <w:rFonts w:hint="eastAsia" w:ascii="仿宋" w:hAnsi="仿宋" w:eastAsia="仿宋" w:cs="仿宋"/>
                <w:color w:val="000000"/>
                <w:kern w:val="0"/>
                <w:sz w:val="24"/>
                <w:szCs w:val="24"/>
                <w:lang w:val="en-US" w:eastAsia="zh-CN" w:bidi="ar"/>
              </w:rPr>
              <w:t>0:00</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机电</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法</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建艺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4" w:type="dxa"/>
            <w:shd w:val="clear" w:color="auto" w:fill="auto"/>
            <w:vAlign w:val="center"/>
          </w:tcPr>
          <w:p>
            <w:pPr>
              <w:widowControl/>
              <w:adjustRightInd w:val="0"/>
              <w:snapToGrid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10:00</w:t>
            </w: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:30</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计算机</w:t>
            </w:r>
          </w:p>
        </w:tc>
        <w:tc>
          <w:tcPr>
            <w:tcW w:w="1984" w:type="dxa"/>
            <w:shd w:val="clear" w:color="auto" w:fill="auto"/>
            <w:noWrap/>
            <w:vAlign w:val="center"/>
          </w:tcPr>
          <w:p>
            <w:pPr>
              <w:widowControl/>
              <w:adjustRightInd w:val="0"/>
              <w:snapToGrid w:val="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经管</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软件</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物工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4" w:type="dxa"/>
            <w:shd w:val="clear" w:color="auto" w:fill="auto"/>
            <w:vAlign w:val="center"/>
          </w:tcPr>
          <w:p>
            <w:pPr>
              <w:widowControl/>
              <w:adjustRightInd w:val="0"/>
              <w:snapToGrid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14:30-16:00</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运输</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环境</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电信</w:t>
            </w:r>
          </w:p>
        </w:tc>
        <w:tc>
          <w:tcPr>
            <w:tcW w:w="1984" w:type="dxa"/>
            <w:shd w:val="clear" w:color="auto" w:fill="auto"/>
            <w:noWrap/>
            <w:vAlign w:val="center"/>
          </w:tcPr>
          <w:p>
            <w:pPr>
              <w:widowControl/>
              <w:adjustRightInd w:val="0"/>
              <w:snapToGrid w:val="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4" w:type="dxa"/>
            <w:shd w:val="clear" w:color="auto" w:fill="auto"/>
            <w:vAlign w:val="center"/>
          </w:tcPr>
          <w:p>
            <w:pPr>
              <w:widowControl/>
              <w:adjustRightInd w:val="0"/>
              <w:snapToGrid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16:00-17:30</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数统</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电气</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土建</w:t>
            </w:r>
          </w:p>
        </w:tc>
        <w:tc>
          <w:tcPr>
            <w:tcW w:w="1984" w:type="dxa"/>
            <w:shd w:val="clear" w:color="auto" w:fill="auto"/>
            <w:noWrap/>
            <w:vAlign w:val="center"/>
          </w:tcPr>
          <w:p>
            <w:pPr>
              <w:widowControl/>
              <w:adjustRightInd w:val="0"/>
              <w:snapToGrid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w:t>
            </w:r>
          </w:p>
        </w:tc>
      </w:tr>
    </w:tbl>
    <w:p>
      <w:pPr>
        <w:adjustRightInd w:val="0"/>
        <w:snapToGrid w:val="0"/>
        <w:spacing w:line="360" w:lineRule="auto"/>
        <w:ind w:firstLine="482" w:firstLineChars="200"/>
        <w:rPr>
          <w:rFonts w:hint="eastAsia" w:ascii="仿宋_GB2312" w:hAnsi="宋体" w:eastAsia="仿宋_GB2312" w:cs="黑体"/>
          <w:b/>
          <w:sz w:val="24"/>
          <w:szCs w:val="24"/>
        </w:rPr>
      </w:pPr>
      <w:r>
        <w:rPr>
          <w:rFonts w:hint="eastAsia" w:ascii="仿宋_GB2312" w:hAnsi="宋体" w:eastAsia="仿宋_GB2312" w:cs="黑体"/>
          <w:b/>
          <w:sz w:val="24"/>
          <w:szCs w:val="24"/>
        </w:rPr>
        <w:t>注：各学院接受考察时段，本学院教学院长所在专家组不安排考察任务</w:t>
      </w:r>
    </w:p>
    <w:p>
      <w:pPr>
        <w:adjustRightInd w:val="0"/>
        <w:snapToGrid w:val="0"/>
        <w:spacing w:before="156" w:beforeLines="50" w:line="360" w:lineRule="auto"/>
        <w:ind w:firstLine="560" w:firstLineChars="200"/>
        <w:outlineLvl w:val="1"/>
        <w:rPr>
          <w:rFonts w:ascii="黑体" w:hAnsi="黑体" w:eastAsia="黑体" w:cs="黑体"/>
          <w:sz w:val="28"/>
          <w:szCs w:val="28"/>
        </w:rPr>
      </w:pPr>
      <w:r>
        <w:rPr>
          <w:rFonts w:hint="eastAsia" w:ascii="黑体" w:hAnsi="黑体" w:eastAsia="黑体" w:cs="黑体"/>
          <w:sz w:val="28"/>
          <w:szCs w:val="28"/>
        </w:rPr>
        <w:t>四、专家工作要求</w:t>
      </w:r>
    </w:p>
    <w:p>
      <w:pPr>
        <w:adjustRightInd w:val="0"/>
        <w:snapToGrid w:val="0"/>
        <w:spacing w:line="360" w:lineRule="auto"/>
        <w:ind w:firstLine="561"/>
        <w:rPr>
          <w:rFonts w:ascii="仿宋" w:hAnsi="仿宋" w:eastAsia="仿宋" w:cs="仿宋"/>
          <w:sz w:val="28"/>
          <w:szCs w:val="28"/>
        </w:rPr>
      </w:pPr>
      <w:r>
        <w:rPr>
          <w:rFonts w:hint="eastAsia" w:ascii="仿宋" w:hAnsi="仿宋" w:eastAsia="仿宋" w:cs="仿宋"/>
          <w:b/>
          <w:sz w:val="28"/>
          <w:szCs w:val="28"/>
        </w:rPr>
        <w:t>1.深入学习各级文件，准确把握指标内涵要义。</w:t>
      </w:r>
      <w:r>
        <w:rPr>
          <w:rFonts w:hint="eastAsia" w:ascii="仿宋" w:hAnsi="仿宋" w:eastAsia="仿宋" w:cs="仿宋"/>
          <w:sz w:val="28"/>
          <w:szCs w:val="28"/>
        </w:rPr>
        <w:t>专家组应</w:t>
      </w:r>
      <w:r>
        <w:rPr>
          <w:rFonts w:ascii="仿宋" w:hAnsi="仿宋" w:eastAsia="仿宋" w:cs="仿宋"/>
          <w:sz w:val="28"/>
          <w:szCs w:val="28"/>
        </w:rPr>
        <w:t>深入学习</w:t>
      </w:r>
      <w:r>
        <w:rPr>
          <w:rFonts w:hint="eastAsia" w:ascii="仿宋" w:hAnsi="仿宋" w:eastAsia="仿宋" w:cs="仿宋"/>
          <w:sz w:val="28"/>
          <w:szCs w:val="28"/>
        </w:rPr>
        <w:t>《普通等学校本科教育教学审核评估实施方案(2021—2025年)》《北京交通大学新一轮本科教育教学审核评估学院自评实施方案》等</w:t>
      </w:r>
      <w:r>
        <w:rPr>
          <w:rFonts w:ascii="仿宋" w:hAnsi="仿宋" w:eastAsia="仿宋" w:cs="仿宋"/>
          <w:sz w:val="28"/>
          <w:szCs w:val="28"/>
        </w:rPr>
        <w:t>教育部及学校审核评估文件</w:t>
      </w:r>
      <w:r>
        <w:rPr>
          <w:rFonts w:hint="eastAsia" w:ascii="仿宋" w:hAnsi="仿宋" w:eastAsia="仿宋" w:cs="仿宋"/>
          <w:sz w:val="28"/>
          <w:szCs w:val="28"/>
        </w:rPr>
        <w:t>,准确把握新一轮</w:t>
      </w:r>
      <w:r>
        <w:rPr>
          <w:rFonts w:ascii="仿宋" w:hAnsi="仿宋" w:eastAsia="仿宋" w:cs="仿宋"/>
          <w:sz w:val="28"/>
          <w:szCs w:val="28"/>
        </w:rPr>
        <w:t>审核评估要求及各项指标内涵要义</w:t>
      </w:r>
      <w:r>
        <w:rPr>
          <w:rFonts w:hint="eastAsia" w:ascii="仿宋" w:hAnsi="仿宋" w:eastAsia="仿宋" w:cs="仿宋"/>
          <w:sz w:val="28"/>
          <w:szCs w:val="28"/>
        </w:rPr>
        <w:t>，对照</w:t>
      </w:r>
      <w:r>
        <w:rPr>
          <w:rFonts w:ascii="仿宋" w:hAnsi="仿宋" w:eastAsia="仿宋" w:cs="仿宋"/>
          <w:sz w:val="28"/>
          <w:szCs w:val="28"/>
        </w:rPr>
        <w:t>审核评估指标要求</w:t>
      </w:r>
      <w:r>
        <w:rPr>
          <w:rFonts w:hint="eastAsia" w:ascii="仿宋" w:hAnsi="仿宋" w:eastAsia="仿宋" w:cs="仿宋"/>
          <w:sz w:val="28"/>
          <w:szCs w:val="28"/>
        </w:rPr>
        <w:t>开展</w:t>
      </w:r>
      <w:r>
        <w:rPr>
          <w:rFonts w:ascii="仿宋" w:hAnsi="仿宋" w:eastAsia="仿宋" w:cs="仿宋"/>
          <w:sz w:val="28"/>
          <w:szCs w:val="28"/>
        </w:rPr>
        <w:t>考察工作</w:t>
      </w:r>
      <w:r>
        <w:rPr>
          <w:rFonts w:hint="eastAsia" w:ascii="仿宋" w:hAnsi="仿宋" w:eastAsia="仿宋" w:cs="仿宋"/>
          <w:sz w:val="28"/>
          <w:szCs w:val="28"/>
        </w:rPr>
        <w:t>。</w:t>
      </w:r>
    </w:p>
    <w:p>
      <w:pPr>
        <w:adjustRightInd w:val="0"/>
        <w:snapToGrid w:val="0"/>
        <w:spacing w:line="360" w:lineRule="auto"/>
        <w:ind w:firstLine="561"/>
        <w:rPr>
          <w:rFonts w:ascii="仿宋" w:hAnsi="仿宋" w:eastAsia="仿宋" w:cs="仿宋"/>
          <w:sz w:val="28"/>
          <w:szCs w:val="28"/>
        </w:rPr>
      </w:pPr>
      <w:r>
        <w:rPr>
          <w:rFonts w:hint="eastAsia" w:ascii="仿宋" w:hAnsi="仿宋" w:eastAsia="仿宋" w:cs="仿宋"/>
          <w:b/>
          <w:sz w:val="28"/>
          <w:szCs w:val="28"/>
        </w:rPr>
        <w:t>2.强化工作统筹协调，注重评估要求落实落细。</w:t>
      </w:r>
      <w:r>
        <w:rPr>
          <w:rFonts w:ascii="仿宋" w:hAnsi="仿宋" w:eastAsia="仿宋" w:cs="仿宋"/>
          <w:sz w:val="28"/>
          <w:szCs w:val="28"/>
        </w:rPr>
        <w:t>专家</w:t>
      </w:r>
      <w:r>
        <w:rPr>
          <w:rFonts w:hint="eastAsia" w:ascii="仿宋" w:hAnsi="仿宋" w:eastAsia="仿宋" w:cs="仿宋"/>
          <w:sz w:val="28"/>
          <w:szCs w:val="28"/>
        </w:rPr>
        <w:t>组应根据</w:t>
      </w:r>
      <w:r>
        <w:rPr>
          <w:rFonts w:ascii="仿宋" w:hAnsi="仿宋" w:eastAsia="仿宋" w:cs="仿宋"/>
          <w:sz w:val="28"/>
          <w:szCs w:val="28"/>
        </w:rPr>
        <w:t>工作需要定期组织召开工作布置会、研讨会，</w:t>
      </w:r>
      <w:r>
        <w:rPr>
          <w:rFonts w:hint="eastAsia" w:ascii="仿宋" w:hAnsi="仿宋" w:eastAsia="仿宋" w:cs="仿宋"/>
          <w:sz w:val="28"/>
          <w:szCs w:val="28"/>
        </w:rPr>
        <w:t>做好评估</w:t>
      </w:r>
      <w:r>
        <w:rPr>
          <w:rFonts w:ascii="仿宋" w:hAnsi="仿宋" w:eastAsia="仿宋" w:cs="仿宋"/>
          <w:sz w:val="28"/>
          <w:szCs w:val="28"/>
        </w:rPr>
        <w:t>工作统筹与分工，合理分配</w:t>
      </w:r>
      <w:r>
        <w:rPr>
          <w:rFonts w:hint="eastAsia" w:ascii="仿宋" w:hAnsi="仿宋" w:eastAsia="仿宋" w:cs="仿宋"/>
          <w:sz w:val="28"/>
          <w:szCs w:val="28"/>
        </w:rPr>
        <w:t>专家重点考察内容</w:t>
      </w:r>
      <w:r>
        <w:rPr>
          <w:rFonts w:ascii="仿宋" w:hAnsi="仿宋" w:eastAsia="仿宋" w:cs="仿宋"/>
          <w:sz w:val="28"/>
          <w:szCs w:val="28"/>
        </w:rPr>
        <w:t>。</w:t>
      </w:r>
      <w:r>
        <w:rPr>
          <w:rFonts w:hint="eastAsia" w:ascii="仿宋" w:hAnsi="仿宋" w:eastAsia="仿宋" w:cs="仿宋"/>
          <w:sz w:val="28"/>
          <w:szCs w:val="28"/>
        </w:rPr>
        <w:t>专家</w:t>
      </w:r>
      <w:r>
        <w:rPr>
          <w:rFonts w:ascii="仿宋" w:hAnsi="仿宋" w:eastAsia="仿宋" w:cs="仿宋"/>
          <w:sz w:val="28"/>
          <w:szCs w:val="28"/>
        </w:rPr>
        <w:t>应认真审读学院自评报告及支撑材料，审</w:t>
      </w:r>
      <w:r>
        <w:rPr>
          <w:rFonts w:hint="eastAsia" w:ascii="仿宋" w:hAnsi="仿宋" w:eastAsia="仿宋" w:cs="仿宋"/>
          <w:sz w:val="28"/>
          <w:szCs w:val="28"/>
        </w:rPr>
        <w:t>查</w:t>
      </w:r>
      <w:r>
        <w:rPr>
          <w:rFonts w:ascii="仿宋" w:hAnsi="仿宋" w:eastAsia="仿宋" w:cs="仿宋"/>
          <w:sz w:val="28"/>
          <w:szCs w:val="28"/>
        </w:rPr>
        <w:t>学院</w:t>
      </w:r>
      <w:r>
        <w:rPr>
          <w:rFonts w:hint="eastAsia" w:ascii="仿宋" w:hAnsi="仿宋" w:eastAsia="仿宋" w:cs="仿宋"/>
          <w:sz w:val="28"/>
          <w:szCs w:val="28"/>
        </w:rPr>
        <w:t>教学</w:t>
      </w:r>
      <w:r>
        <w:rPr>
          <w:rFonts w:ascii="仿宋" w:hAnsi="仿宋" w:eastAsia="仿宋" w:cs="仿宋"/>
          <w:sz w:val="28"/>
          <w:szCs w:val="28"/>
        </w:rPr>
        <w:t>档案材料，</w:t>
      </w:r>
      <w:r>
        <w:rPr>
          <w:rFonts w:hint="eastAsia" w:ascii="仿宋" w:hAnsi="仿宋" w:eastAsia="仿宋" w:cs="仿宋"/>
          <w:sz w:val="28"/>
          <w:szCs w:val="28"/>
        </w:rPr>
        <w:t>并</w:t>
      </w:r>
      <w:r>
        <w:rPr>
          <w:rFonts w:ascii="仿宋" w:hAnsi="仿宋" w:eastAsia="仿宋" w:cs="仿宋"/>
          <w:sz w:val="28"/>
          <w:szCs w:val="28"/>
        </w:rPr>
        <w:t>结合线下考察情况，对</w:t>
      </w:r>
      <w:r>
        <w:rPr>
          <w:rFonts w:hint="eastAsia" w:ascii="仿宋" w:hAnsi="仿宋" w:eastAsia="仿宋" w:cs="仿宋"/>
          <w:sz w:val="28"/>
          <w:szCs w:val="28"/>
        </w:rPr>
        <w:t>学院</w:t>
      </w:r>
      <w:r>
        <w:rPr>
          <w:rFonts w:ascii="仿宋" w:hAnsi="仿宋" w:eastAsia="仿宋" w:cs="仿宋"/>
          <w:sz w:val="28"/>
          <w:szCs w:val="28"/>
        </w:rPr>
        <w:t>本科教学</w:t>
      </w:r>
      <w:r>
        <w:rPr>
          <w:rFonts w:hint="eastAsia" w:ascii="仿宋" w:hAnsi="仿宋" w:eastAsia="仿宋" w:cs="仿宋"/>
          <w:sz w:val="28"/>
          <w:szCs w:val="28"/>
        </w:rPr>
        <w:t>质量</w:t>
      </w:r>
      <w:r>
        <w:rPr>
          <w:rFonts w:ascii="仿宋" w:hAnsi="仿宋" w:eastAsia="仿宋" w:cs="仿宋"/>
          <w:sz w:val="28"/>
          <w:szCs w:val="28"/>
        </w:rPr>
        <w:t>保障能力、</w:t>
      </w:r>
      <w:r>
        <w:rPr>
          <w:rFonts w:hint="eastAsia" w:ascii="仿宋" w:hAnsi="仿宋" w:eastAsia="仿宋" w:cs="仿宋"/>
          <w:sz w:val="28"/>
          <w:szCs w:val="28"/>
        </w:rPr>
        <w:t>改革建设</w:t>
      </w:r>
      <w:r>
        <w:rPr>
          <w:rFonts w:ascii="仿宋" w:hAnsi="仿宋" w:eastAsia="仿宋" w:cs="仿宋"/>
          <w:sz w:val="28"/>
          <w:szCs w:val="28"/>
        </w:rPr>
        <w:t>情况、</w:t>
      </w:r>
      <w:r>
        <w:rPr>
          <w:rFonts w:hint="eastAsia" w:ascii="仿宋" w:hAnsi="仿宋" w:eastAsia="仿宋" w:cs="仿宋"/>
          <w:sz w:val="28"/>
          <w:szCs w:val="28"/>
        </w:rPr>
        <w:t>教学</w:t>
      </w:r>
      <w:r>
        <w:rPr>
          <w:rFonts w:ascii="仿宋" w:hAnsi="仿宋" w:eastAsia="仿宋" w:cs="仿宋"/>
          <w:sz w:val="28"/>
          <w:szCs w:val="28"/>
        </w:rPr>
        <w:t>管理情况等</w:t>
      </w:r>
      <w:r>
        <w:rPr>
          <w:rFonts w:hint="eastAsia" w:ascii="仿宋" w:hAnsi="仿宋" w:eastAsia="仿宋" w:cs="仿宋"/>
          <w:sz w:val="28"/>
          <w:szCs w:val="28"/>
        </w:rPr>
        <w:t>进行</w:t>
      </w:r>
      <w:r>
        <w:rPr>
          <w:rFonts w:ascii="仿宋" w:hAnsi="仿宋" w:eastAsia="仿宋" w:cs="仿宋"/>
          <w:sz w:val="28"/>
          <w:szCs w:val="28"/>
        </w:rPr>
        <w:t>系统审核</w:t>
      </w:r>
      <w:r>
        <w:rPr>
          <w:rFonts w:hint="eastAsia" w:ascii="仿宋" w:hAnsi="仿宋" w:eastAsia="仿宋" w:cs="仿宋"/>
          <w:sz w:val="28"/>
          <w:szCs w:val="28"/>
        </w:rPr>
        <w:t>，</w:t>
      </w:r>
      <w:r>
        <w:rPr>
          <w:rFonts w:ascii="仿宋" w:hAnsi="仿宋" w:eastAsia="仿宋" w:cs="仿宋"/>
          <w:sz w:val="28"/>
          <w:szCs w:val="28"/>
        </w:rPr>
        <w:t>重点考察</w:t>
      </w:r>
      <w:r>
        <w:rPr>
          <w:rFonts w:hint="eastAsia" w:ascii="仿宋" w:hAnsi="仿宋" w:eastAsia="仿宋" w:cs="仿宋"/>
          <w:sz w:val="28"/>
          <w:szCs w:val="28"/>
        </w:rPr>
        <w:t>新一轮审核评估</w:t>
      </w:r>
      <w:r>
        <w:rPr>
          <w:rFonts w:ascii="仿宋" w:hAnsi="仿宋" w:eastAsia="仿宋" w:cs="仿宋"/>
          <w:sz w:val="28"/>
          <w:szCs w:val="28"/>
        </w:rPr>
        <w:t>指标的</w:t>
      </w:r>
      <w:r>
        <w:rPr>
          <w:rFonts w:hint="eastAsia" w:ascii="仿宋" w:hAnsi="仿宋" w:eastAsia="仿宋" w:cs="仿宋"/>
          <w:sz w:val="28"/>
          <w:szCs w:val="28"/>
        </w:rPr>
        <w:t>落实</w:t>
      </w:r>
      <w:r>
        <w:rPr>
          <w:rFonts w:ascii="仿宋" w:hAnsi="仿宋" w:eastAsia="仿宋" w:cs="仿宋"/>
          <w:sz w:val="28"/>
          <w:szCs w:val="28"/>
        </w:rPr>
        <w:t>情况。</w:t>
      </w:r>
    </w:p>
    <w:p>
      <w:pPr>
        <w:adjustRightInd w:val="0"/>
        <w:snapToGrid w:val="0"/>
        <w:spacing w:line="360" w:lineRule="auto"/>
        <w:ind w:firstLine="561"/>
        <w:rPr>
          <w:rFonts w:ascii="仿宋" w:hAnsi="仿宋" w:eastAsia="仿宋" w:cs="仿宋"/>
          <w:sz w:val="28"/>
          <w:szCs w:val="28"/>
        </w:rPr>
      </w:pPr>
      <w:r>
        <w:rPr>
          <w:rFonts w:hint="eastAsia" w:ascii="仿宋" w:hAnsi="仿宋" w:eastAsia="仿宋" w:cs="仿宋"/>
          <w:b/>
          <w:sz w:val="28"/>
          <w:szCs w:val="28"/>
        </w:rPr>
        <w:t>3.立足学校事业发展，坚持评估工作公平公正。</w:t>
      </w:r>
      <w:r>
        <w:rPr>
          <w:rFonts w:hint="eastAsia" w:ascii="仿宋" w:hAnsi="仿宋" w:eastAsia="仿宋" w:cs="仿宋"/>
          <w:sz w:val="28"/>
          <w:szCs w:val="28"/>
        </w:rPr>
        <w:t>专家组</w:t>
      </w:r>
      <w:r>
        <w:rPr>
          <w:rFonts w:ascii="仿宋" w:hAnsi="仿宋" w:eastAsia="仿宋" w:cs="仿宋"/>
          <w:sz w:val="28"/>
          <w:szCs w:val="28"/>
        </w:rPr>
        <w:t>应</w:t>
      </w:r>
      <w:r>
        <w:rPr>
          <w:rFonts w:hint="eastAsia" w:ascii="仿宋" w:hAnsi="仿宋" w:eastAsia="仿宋" w:cs="仿宋"/>
          <w:sz w:val="28"/>
          <w:szCs w:val="28"/>
        </w:rPr>
        <w:t>立足学校事业发展和学生成长成才，坚持严肃认真、</w:t>
      </w:r>
      <w:r>
        <w:rPr>
          <w:rFonts w:ascii="仿宋" w:hAnsi="仿宋" w:eastAsia="仿宋" w:cs="仿宋"/>
          <w:sz w:val="28"/>
          <w:szCs w:val="28"/>
        </w:rPr>
        <w:t>公平公正</w:t>
      </w:r>
      <w:r>
        <w:rPr>
          <w:rFonts w:hint="eastAsia" w:ascii="仿宋" w:hAnsi="仿宋" w:eastAsia="仿宋" w:cs="仿宋"/>
          <w:sz w:val="28"/>
          <w:szCs w:val="28"/>
        </w:rPr>
        <w:t>，坚持</w:t>
      </w:r>
      <w:r>
        <w:rPr>
          <w:rFonts w:ascii="仿宋" w:hAnsi="仿宋" w:eastAsia="仿宋" w:cs="仿宋"/>
          <w:sz w:val="28"/>
          <w:szCs w:val="28"/>
        </w:rPr>
        <w:t>以问题导向、从实际出发，</w:t>
      </w:r>
      <w:r>
        <w:rPr>
          <w:rFonts w:hint="eastAsia" w:ascii="仿宋" w:hAnsi="仿宋" w:eastAsia="仿宋" w:cs="仿宋"/>
          <w:sz w:val="28"/>
          <w:szCs w:val="28"/>
        </w:rPr>
        <w:t>切实帮助</w:t>
      </w:r>
      <w:r>
        <w:rPr>
          <w:rFonts w:ascii="仿宋" w:hAnsi="仿宋" w:eastAsia="仿宋" w:cs="仿宋"/>
          <w:sz w:val="28"/>
          <w:szCs w:val="28"/>
        </w:rPr>
        <w:t>受评学院</w:t>
      </w:r>
      <w:r>
        <w:rPr>
          <w:rFonts w:hint="eastAsia" w:ascii="仿宋" w:hAnsi="仿宋" w:eastAsia="仿宋" w:cs="仿宋"/>
          <w:sz w:val="28"/>
          <w:szCs w:val="28"/>
        </w:rPr>
        <w:t>查找</w:t>
      </w:r>
      <w:r>
        <w:rPr>
          <w:rFonts w:ascii="仿宋" w:hAnsi="仿宋" w:eastAsia="仿宋" w:cs="仿宋"/>
          <w:sz w:val="28"/>
          <w:szCs w:val="28"/>
        </w:rPr>
        <w:t>本科教学存在的问题</w:t>
      </w:r>
      <w:r>
        <w:rPr>
          <w:rFonts w:hint="eastAsia" w:ascii="仿宋" w:hAnsi="仿宋" w:eastAsia="仿宋" w:cs="仿宋"/>
          <w:sz w:val="28"/>
          <w:szCs w:val="28"/>
        </w:rPr>
        <w:t>，</w:t>
      </w:r>
      <w:r>
        <w:rPr>
          <w:rFonts w:ascii="仿宋" w:hAnsi="仿宋" w:eastAsia="仿宋" w:cs="仿宋"/>
          <w:sz w:val="28"/>
          <w:szCs w:val="28"/>
        </w:rPr>
        <w:t>促进持续改进，</w:t>
      </w:r>
      <w:r>
        <w:rPr>
          <w:rFonts w:hint="eastAsia" w:ascii="仿宋" w:hAnsi="仿宋" w:eastAsia="仿宋" w:cs="仿宋"/>
          <w:sz w:val="28"/>
          <w:szCs w:val="28"/>
        </w:rPr>
        <w:t>推动</w:t>
      </w:r>
      <w:r>
        <w:rPr>
          <w:rFonts w:ascii="仿宋" w:hAnsi="仿宋" w:eastAsia="仿宋" w:cs="仿宋"/>
          <w:sz w:val="28"/>
          <w:szCs w:val="28"/>
        </w:rPr>
        <w:t>学院内涵式、高质量发展，</w:t>
      </w:r>
      <w:r>
        <w:rPr>
          <w:rFonts w:hint="eastAsia" w:ascii="仿宋" w:hAnsi="仿宋" w:eastAsia="仿宋" w:cs="仿宋"/>
          <w:sz w:val="28"/>
          <w:szCs w:val="28"/>
        </w:rPr>
        <w:t>为学校参加新一轮本科教育教学审核评估奠定坚实基础。</w:t>
      </w:r>
    </w:p>
    <w:p>
      <w:pPr>
        <w:adjustRightInd w:val="0"/>
        <w:snapToGrid w:val="0"/>
        <w:spacing w:line="360" w:lineRule="auto"/>
        <w:rPr>
          <w:rFonts w:ascii="仿宋" w:hAnsi="仿宋" w:eastAsia="仿宋" w:cs="仿宋"/>
          <w:sz w:val="28"/>
          <w:szCs w:val="28"/>
        </w:rPr>
      </w:pPr>
    </w:p>
    <w:p>
      <w:pPr>
        <w:adjustRightInd w:val="0"/>
        <w:spacing w:line="360" w:lineRule="auto"/>
        <w:ind w:firstLine="560" w:firstLineChars="200"/>
        <w:rPr>
          <w:rFonts w:ascii="仿宋_GB2312" w:hAnsi="黑体" w:eastAsia="仿宋_GB2312" w:cs="Times New Roman"/>
          <w:sz w:val="28"/>
          <w:szCs w:val="28"/>
        </w:rPr>
      </w:pPr>
      <w:r>
        <w:rPr>
          <w:rFonts w:hint="eastAsia" w:ascii="仿宋_GB2312" w:hAnsi="黑体" w:eastAsia="仿宋_GB2312" w:cs="Times New Roman"/>
          <w:sz w:val="28"/>
          <w:szCs w:val="28"/>
        </w:rPr>
        <w:t>附件：1</w:t>
      </w:r>
      <w:r>
        <w:rPr>
          <w:rFonts w:ascii="仿宋_GB2312" w:hAnsi="黑体" w:eastAsia="仿宋_GB2312" w:cs="Times New Roman"/>
          <w:sz w:val="28"/>
          <w:szCs w:val="28"/>
        </w:rPr>
        <w:t>.</w:t>
      </w:r>
      <w:r>
        <w:rPr>
          <w:rFonts w:hint="eastAsia" w:ascii="仿宋_GB2312" w:hAnsi="黑体" w:eastAsia="仿宋_GB2312" w:cs="Times New Roman"/>
          <w:sz w:val="28"/>
          <w:szCs w:val="28"/>
        </w:rPr>
        <w:t>北京交通大学新一轮本科教育教学审核评估学院自评指</w:t>
      </w:r>
    </w:p>
    <w:p>
      <w:pPr>
        <w:adjustRightInd w:val="0"/>
        <w:spacing w:line="360" w:lineRule="auto"/>
        <w:ind w:firstLine="1274" w:firstLineChars="455"/>
        <w:rPr>
          <w:rFonts w:ascii="仿宋_GB2312" w:hAnsi="黑体" w:eastAsia="仿宋_GB2312" w:cs="Times New Roman"/>
          <w:sz w:val="28"/>
          <w:szCs w:val="28"/>
        </w:rPr>
      </w:pPr>
      <w:r>
        <w:rPr>
          <w:rFonts w:hint="eastAsia" w:ascii="仿宋_GB2312" w:hAnsi="黑体" w:eastAsia="仿宋_GB2312" w:cs="Times New Roman"/>
          <w:sz w:val="28"/>
          <w:szCs w:val="28"/>
        </w:rPr>
        <w:t xml:space="preserve">  标体系</w:t>
      </w:r>
    </w:p>
    <w:p>
      <w:pPr>
        <w:adjustRightInd w:val="0"/>
        <w:spacing w:line="360" w:lineRule="auto"/>
        <w:ind w:firstLine="560" w:firstLineChars="200"/>
        <w:rPr>
          <w:rFonts w:ascii="仿宋_GB2312" w:hAnsi="黑体" w:eastAsia="仿宋_GB2312" w:cs="Times New Roman"/>
          <w:sz w:val="28"/>
          <w:szCs w:val="28"/>
        </w:rPr>
      </w:pPr>
      <w:r>
        <w:rPr>
          <w:rFonts w:hint="eastAsia" w:ascii="仿宋_GB2312" w:hAnsi="黑体" w:eastAsia="仿宋_GB2312" w:cs="Times New Roman"/>
          <w:sz w:val="28"/>
          <w:szCs w:val="28"/>
        </w:rPr>
        <w:t xml:space="preserve"> </w:t>
      </w:r>
      <w:r>
        <w:rPr>
          <w:rFonts w:ascii="仿宋_GB2312" w:hAnsi="黑体" w:eastAsia="仿宋_GB2312" w:cs="Times New Roman"/>
          <w:sz w:val="28"/>
          <w:szCs w:val="28"/>
        </w:rPr>
        <w:t xml:space="preserve">    2.</w:t>
      </w:r>
      <w:r>
        <w:rPr>
          <w:rFonts w:hint="eastAsia" w:ascii="仿宋_GB2312" w:hAnsi="黑体" w:eastAsia="仿宋_GB2312" w:cs="Times New Roman"/>
          <w:sz w:val="28"/>
          <w:szCs w:val="28"/>
        </w:rPr>
        <w:t>北京交通大学新一轮本科教育教学审核评估学院自评报</w:t>
      </w:r>
    </w:p>
    <w:p>
      <w:pPr>
        <w:adjustRightInd w:val="0"/>
        <w:spacing w:line="360" w:lineRule="auto"/>
        <w:ind w:firstLine="1274" w:firstLineChars="455"/>
        <w:rPr>
          <w:rFonts w:ascii="仿宋_GB2312" w:hAnsi="黑体" w:eastAsia="仿宋_GB2312" w:cs="Times New Roman"/>
          <w:sz w:val="28"/>
          <w:szCs w:val="28"/>
        </w:rPr>
      </w:pPr>
      <w:r>
        <w:rPr>
          <w:rFonts w:hint="eastAsia" w:ascii="仿宋_GB2312" w:hAnsi="黑体" w:eastAsia="仿宋_GB2312" w:cs="Times New Roman"/>
          <w:sz w:val="28"/>
          <w:szCs w:val="28"/>
        </w:rPr>
        <w:t xml:space="preserve">  告模板</w:t>
      </w:r>
    </w:p>
    <w:p>
      <w:pPr>
        <w:adjustRightInd w:val="0"/>
        <w:spacing w:line="360" w:lineRule="auto"/>
        <w:ind w:firstLine="1274" w:firstLineChars="455"/>
        <w:rPr>
          <w:rFonts w:hint="eastAsia" w:ascii="仿宋_GB2312" w:hAnsi="黑体" w:eastAsia="仿宋_GB2312" w:cs="Times New Roman"/>
          <w:sz w:val="28"/>
          <w:szCs w:val="28"/>
        </w:rPr>
      </w:pPr>
      <w:r>
        <w:rPr>
          <w:rFonts w:hint="eastAsia" w:ascii="仿宋_GB2312" w:hAnsi="黑体" w:eastAsia="仿宋_GB2312" w:cs="Times New Roman"/>
          <w:sz w:val="28"/>
          <w:szCs w:val="28"/>
        </w:rPr>
        <w:t>3</w:t>
      </w:r>
      <w:r>
        <w:rPr>
          <w:rFonts w:hint="eastAsia" w:ascii="黑体" w:hAnsi="黑体" w:eastAsia="黑体" w:cs="Times New Roman"/>
          <w:sz w:val="28"/>
          <w:szCs w:val="28"/>
        </w:rPr>
        <w:t>.</w:t>
      </w:r>
      <w:r>
        <w:rPr>
          <w:rFonts w:hint="eastAsia" w:ascii="仿宋_GB2312" w:hAnsi="黑体" w:eastAsia="仿宋_GB2312" w:cs="Times New Roman"/>
          <w:sz w:val="28"/>
          <w:szCs w:val="28"/>
        </w:rPr>
        <w:t>北京交通大学本科教学档案建设规范</w:t>
      </w:r>
    </w:p>
    <w:p>
      <w:pPr>
        <w:adjustRightInd w:val="0"/>
        <w:spacing w:line="360" w:lineRule="auto"/>
        <w:rPr>
          <w:rFonts w:hint="eastAsia" w:ascii="仿宋_GB2312" w:hAnsi="黑体" w:eastAsia="仿宋_GB2312" w:cs="Times New Roman"/>
          <w:sz w:val="28"/>
          <w:szCs w:val="28"/>
        </w:rPr>
      </w:pPr>
    </w:p>
    <w:p>
      <w:pPr>
        <w:adjustRightInd w:val="0"/>
        <w:spacing w:line="360" w:lineRule="auto"/>
        <w:rPr>
          <w:rFonts w:hint="eastAsia" w:ascii="仿宋_GB2312" w:hAnsi="黑体" w:eastAsia="仿宋_GB2312" w:cs="Times New Roman"/>
          <w:sz w:val="28"/>
          <w:szCs w:val="28"/>
        </w:rPr>
      </w:pPr>
    </w:p>
    <w:p>
      <w:pPr>
        <w:adjustRightInd w:val="0"/>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本科生院</w:t>
      </w:r>
    </w:p>
    <w:p>
      <w:pPr>
        <w:adjustRightInd w:val="0"/>
        <w:spacing w:line="360" w:lineRule="auto"/>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2023年6月28日</w:t>
      </w:r>
    </w:p>
    <w:p>
      <w:pPr>
        <w:rPr>
          <w:rFonts w:hint="eastAsia" w:ascii="黑体" w:hAnsi="黑体" w:eastAsia="黑体" w:cs="Times New Roman"/>
          <w:sz w:val="28"/>
          <w:szCs w:val="28"/>
        </w:rPr>
      </w:pPr>
      <w:r>
        <w:rPr>
          <w:rFonts w:hint="eastAsia" w:ascii="黑体" w:hAnsi="黑体" w:eastAsia="黑体" w:cs="Times New Roman"/>
          <w:sz w:val="28"/>
          <w:szCs w:val="28"/>
        </w:rPr>
        <w:br w:type="page"/>
      </w:r>
    </w:p>
    <w:p>
      <w:pPr>
        <w:adjustRightInd w:val="0"/>
        <w:spacing w:line="360" w:lineRule="auto"/>
        <w:rPr>
          <w:rFonts w:ascii="黑体" w:hAnsi="黑体" w:eastAsia="黑体" w:cs="Times New Roman"/>
          <w:sz w:val="28"/>
          <w:szCs w:val="28"/>
        </w:rPr>
      </w:pPr>
      <w:r>
        <w:rPr>
          <w:rFonts w:hint="eastAsia" w:ascii="黑体" w:hAnsi="黑体" w:eastAsia="黑体" w:cs="Times New Roman"/>
          <w:sz w:val="28"/>
          <w:szCs w:val="28"/>
        </w:rPr>
        <w:t>附件1</w:t>
      </w:r>
    </w:p>
    <w:p>
      <w:pPr>
        <w:adjustRightInd w:val="0"/>
        <w:spacing w:line="360" w:lineRule="auto"/>
        <w:jc w:val="center"/>
        <w:rPr>
          <w:rFonts w:ascii="方正小标宋_GBK" w:hAnsi="黑体" w:eastAsia="方正小标宋_GBK" w:cs="Times New Roman"/>
          <w:sz w:val="28"/>
          <w:szCs w:val="28"/>
        </w:rPr>
      </w:pPr>
      <w:r>
        <w:rPr>
          <w:rFonts w:hint="eastAsia" w:ascii="方正小标宋_GBK" w:hAnsi="黑体" w:eastAsia="方正小标宋_GBK" w:cs="Times New Roman"/>
          <w:sz w:val="28"/>
          <w:szCs w:val="28"/>
        </w:rPr>
        <w:t>北京交通大学新一轮本科教育教学审核评估学院自评指标体系</w:t>
      </w:r>
    </w:p>
    <w:tbl>
      <w:tblPr>
        <w:tblStyle w:val="5"/>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581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tblHeader/>
          <w:jc w:val="center"/>
        </w:trPr>
        <w:tc>
          <w:tcPr>
            <w:tcW w:w="1271" w:type="dxa"/>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一级指标</w:t>
            </w:r>
          </w:p>
        </w:tc>
        <w:tc>
          <w:tcPr>
            <w:tcW w:w="1701" w:type="dxa"/>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二级指标</w:t>
            </w:r>
          </w:p>
        </w:tc>
        <w:tc>
          <w:tcPr>
            <w:tcW w:w="5812" w:type="dxa"/>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Times New Roman"/>
                <w:kern w:val="0"/>
                <w:szCs w:val="21"/>
              </w:rPr>
              <w:t>党的领导</w:t>
            </w:r>
          </w:p>
        </w:tc>
        <w:tc>
          <w:tcPr>
            <w:tcW w:w="1701"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w:t>
            </w:r>
            <w:r>
              <w:rPr>
                <w:rFonts w:hint="eastAsia" w:ascii="宋体" w:hAnsi="宋体" w:eastAsia="宋体" w:cs="Times New Roman"/>
                <w:kern w:val="0"/>
                <w:szCs w:val="21"/>
              </w:rPr>
              <w:t>党的全面领导和社会主义办学方向</w:t>
            </w:r>
          </w:p>
        </w:tc>
        <w:tc>
          <w:tcPr>
            <w:tcW w:w="5812" w:type="dxa"/>
            <w:shd w:val="clear" w:color="auto" w:fill="auto"/>
            <w:vAlign w:val="center"/>
          </w:tcPr>
          <w:p>
            <w:pPr>
              <w:widowControl/>
              <w:tabs>
                <w:tab w:val="left" w:pos="6635"/>
              </w:tabs>
              <w:rPr>
                <w:rFonts w:ascii="Times New Roman" w:hAnsi="Times New Roman" w:eastAsia="宋体" w:cs="Times New Roman"/>
                <w:kern w:val="0"/>
                <w:szCs w:val="21"/>
              </w:rPr>
            </w:pPr>
            <w:r>
              <w:rPr>
                <w:rFonts w:ascii="Times New Roman" w:hAnsi="Times New Roman" w:eastAsia="宋体" w:cs="Times New Roman"/>
                <w:kern w:val="0"/>
                <w:szCs w:val="21"/>
              </w:rPr>
              <w:t xml:space="preserve">1.1.1 </w:t>
            </w:r>
            <w:r>
              <w:rPr>
                <w:rFonts w:hint="eastAsia" w:ascii="Times New Roman" w:hAnsi="Times New Roman" w:eastAsia="宋体" w:cs="Times New Roman"/>
                <w:kern w:val="0"/>
                <w:szCs w:val="21"/>
              </w:rPr>
              <w:t>学院</w:t>
            </w:r>
            <w:r>
              <w:rPr>
                <w:rFonts w:hint="eastAsia" w:ascii="宋体" w:hAnsi="宋体" w:eastAsia="宋体" w:cs="Times New Roman"/>
                <w:kern w:val="0"/>
                <w:szCs w:val="21"/>
              </w:rPr>
              <w:t>坚持党的全面领导，依法治教、依法办学，围绕国家战略需求培养担当民族复兴大任的时代新人情况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1.1.2 </w:t>
            </w:r>
            <w:r>
              <w:rPr>
                <w:rFonts w:hint="eastAsia" w:ascii="Times New Roman" w:hAnsi="Times New Roman" w:eastAsia="宋体" w:cs="Times New Roman"/>
                <w:kern w:val="0"/>
                <w:szCs w:val="21"/>
              </w:rPr>
              <w:t>学院</w:t>
            </w:r>
            <w:r>
              <w:rPr>
                <w:rFonts w:hint="eastAsia" w:ascii="宋体" w:hAnsi="宋体" w:eastAsia="宋体" w:cs="Times New Roman"/>
                <w:kern w:val="0"/>
                <w:szCs w:val="21"/>
              </w:rPr>
              <w:t>坚持社会主义办学方向、贯彻落实立德树人根本任务、把立德树人成效作为检验学院一切工作的根本标准情况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2.质量保障能力</w:t>
            </w:r>
            <w:r>
              <w:rPr>
                <w:rFonts w:ascii="Times New Roman" w:hAnsi="Times New Roman" w:eastAsia="宋体" w:cs="Times New Roman"/>
                <w:kern w:val="0"/>
                <w:szCs w:val="21"/>
              </w:rPr>
              <w:t>　</w:t>
            </w:r>
          </w:p>
        </w:tc>
        <w:tc>
          <w:tcPr>
            <w:tcW w:w="1701"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2.1</w:t>
            </w:r>
            <w:r>
              <w:rPr>
                <w:rFonts w:hint="eastAsia" w:ascii="宋体" w:hAnsi="宋体" w:eastAsia="宋体" w:cs="Times New Roman"/>
                <w:kern w:val="0"/>
                <w:szCs w:val="21"/>
              </w:rPr>
              <w:t>质量标准</w:t>
            </w: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2.1.1 </w:t>
            </w:r>
            <w:r>
              <w:rPr>
                <w:rFonts w:hint="eastAsia" w:ascii="宋体" w:hAnsi="宋体" w:eastAsia="宋体" w:cs="Times New Roman"/>
                <w:kern w:val="0"/>
                <w:szCs w:val="21"/>
              </w:rPr>
              <w:t>依据国家相关标准，符合国家、社会及学生等利益相关者诉求的一流质量标准、质量管理制度、质量保障机构建设情况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2.1.2 </w:t>
            </w:r>
            <w:r>
              <w:rPr>
                <w:rFonts w:hint="eastAsia" w:ascii="宋体" w:hAnsi="宋体" w:eastAsia="宋体" w:cs="Times New Roman"/>
                <w:kern w:val="0"/>
                <w:szCs w:val="21"/>
              </w:rPr>
              <w:t>加强考试管理、严肃考试纪律、完善过程性考核与结果性考核有机结合的学业考评制度、严把考试和毕业出口关的情况，各教学环节质量标准落实情况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w:t>
            </w:r>
            <w:r>
              <w:rPr>
                <w:rFonts w:hint="eastAsia" w:ascii="宋体" w:hAnsi="宋体" w:eastAsia="宋体" w:cs="Times New Roman"/>
                <w:kern w:val="0"/>
                <w:szCs w:val="21"/>
              </w:rPr>
              <w:t>质保机制</w:t>
            </w: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2.2.1</w:t>
            </w:r>
            <w:r>
              <w:rPr>
                <w:rFonts w:hint="eastAsia" w:ascii="宋体" w:hAnsi="宋体" w:eastAsia="宋体" w:cs="Times New Roman"/>
                <w:kern w:val="0"/>
                <w:szCs w:val="21"/>
              </w:rPr>
              <w:t>质量监控队伍的数量、结构和人员素质情况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2.2.2 </w:t>
            </w:r>
            <w:r>
              <w:rPr>
                <w:rFonts w:hint="eastAsia" w:ascii="宋体" w:hAnsi="宋体" w:eastAsia="宋体" w:cs="Times New Roman"/>
                <w:kern w:val="0"/>
                <w:szCs w:val="21"/>
              </w:rPr>
              <w:t>自我评价机制、评价结果反馈机制、质量改进机制的建立与运行情况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2.2.3 </w:t>
            </w:r>
            <w:r>
              <w:rPr>
                <w:rFonts w:hint="eastAsia" w:ascii="宋体" w:hAnsi="宋体" w:eastAsia="宋体" w:cs="Times New Roman"/>
                <w:kern w:val="0"/>
                <w:szCs w:val="21"/>
              </w:rPr>
              <w:t>学院内部质量评估制度的建立及接受外部评估（含学院评估、专业认证等）情况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2.3</w:t>
            </w:r>
            <w:r>
              <w:rPr>
                <w:rFonts w:hint="eastAsia" w:ascii="宋体" w:hAnsi="宋体" w:eastAsia="宋体" w:cs="Times New Roman"/>
                <w:kern w:val="0"/>
                <w:szCs w:val="21"/>
              </w:rPr>
              <w:t>质量文化</w:t>
            </w: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2.3.1 </w:t>
            </w:r>
            <w:r>
              <w:rPr>
                <w:rFonts w:hint="eastAsia" w:ascii="宋体" w:hAnsi="宋体" w:eastAsia="宋体" w:cs="Times New Roman"/>
                <w:kern w:val="0"/>
                <w:szCs w:val="21"/>
              </w:rPr>
              <w:t>自觉、自省、自律、自查、自纠的质量文化建设情况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2.3.2 </w:t>
            </w:r>
            <w:r>
              <w:rPr>
                <w:rFonts w:hint="eastAsia" w:ascii="宋体" w:hAnsi="宋体" w:eastAsia="宋体" w:cs="Times New Roman"/>
                <w:kern w:val="0"/>
                <w:szCs w:val="21"/>
              </w:rPr>
              <w:t>将质量价值观落实到教育教学各环节、将质量要求内化为全校师生的共同价值追求和行为情况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2.4</w:t>
            </w:r>
            <w:r>
              <w:rPr>
                <w:rFonts w:hint="eastAsia" w:ascii="宋体" w:hAnsi="宋体" w:eastAsia="宋体" w:cs="Times New Roman"/>
                <w:kern w:val="0"/>
                <w:szCs w:val="21"/>
              </w:rPr>
              <w:t>质保效果</w:t>
            </w: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 xml:space="preserve">.1 </w:t>
            </w:r>
            <w:r>
              <w:rPr>
                <w:rFonts w:hint="eastAsia" w:ascii="宋体" w:hAnsi="宋体" w:eastAsia="宋体" w:cs="Times New Roman"/>
                <w:kern w:val="0"/>
                <w:szCs w:val="21"/>
              </w:rPr>
              <w:t>培养目标的达成度。学院各专业人才培养目标的达成情况，毕业生质量持续跟踪评价机制建立情况及跟踪评价结果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 xml:space="preserve">.2 </w:t>
            </w:r>
            <w:r>
              <w:rPr>
                <w:rFonts w:hint="eastAsia" w:ascii="宋体" w:hAnsi="宋体" w:eastAsia="宋体" w:cs="Times New Roman"/>
                <w:kern w:val="0"/>
                <w:szCs w:val="21"/>
              </w:rPr>
              <w:t>社会需求的适应度。学院本科生源状况，毕业生面向国家和经济社会发展需要就业情况、就业质量和职业发展情况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【量化指标】升学率（含国内与国外）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【量化指标】应届本科生初次就业率及结构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 xml:space="preserve">.3 </w:t>
            </w:r>
            <w:r>
              <w:rPr>
                <w:rFonts w:hint="eastAsia" w:ascii="宋体" w:hAnsi="宋体" w:eastAsia="宋体" w:cs="Times New Roman"/>
                <w:kern w:val="0"/>
                <w:szCs w:val="21"/>
              </w:rPr>
              <w:t>师资和条件的保障度。教学经费及实验室等资源条件满足教学需要情况，教师的数量、结构、教学水平、产学研用能力、国际视野、教学投入等满足人才培养需要情况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【量化指标】生均本科实验经费（元）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【量化指标】生均本科实习经费（元）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【量化指标】学院各专业生师比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 xml:space="preserve">.4 </w:t>
            </w:r>
            <w:r>
              <w:rPr>
                <w:rFonts w:hint="eastAsia" w:ascii="宋体" w:hAnsi="宋体" w:eastAsia="宋体" w:cs="Times New Roman"/>
                <w:kern w:val="0"/>
                <w:szCs w:val="21"/>
              </w:rPr>
              <w:t>质量保障运行的有效度。</w:t>
            </w:r>
            <w:r>
              <w:rPr>
                <w:rFonts w:ascii="Times New Roman" w:hAnsi="Times New Roman" w:eastAsia="宋体" w:cs="Times New Roman"/>
                <w:kern w:val="0"/>
                <w:szCs w:val="21"/>
              </w:rPr>
              <w:t xml:space="preserve"> </w:t>
            </w:r>
            <w:r>
              <w:rPr>
                <w:rFonts w:hint="eastAsia" w:ascii="宋体" w:hAnsi="宋体" w:eastAsia="宋体" w:cs="Times New Roman"/>
                <w:kern w:val="0"/>
                <w:szCs w:val="21"/>
              </w:rPr>
              <w:t>学院人才培养各环节有序运行情况，学院人才培养工作持续改进、持续提升情况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 xml:space="preserve">.5 </w:t>
            </w:r>
            <w:r>
              <w:rPr>
                <w:rFonts w:hint="eastAsia" w:ascii="宋体" w:hAnsi="宋体" w:eastAsia="宋体" w:cs="Times New Roman"/>
                <w:kern w:val="0"/>
                <w:szCs w:val="21"/>
              </w:rPr>
              <w:t>学生和用人单位的满意度。学生（毕业生与在校生）对学习与成长的满意度，教师对学院教育教学工作的满意度，用人单位的满意度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w:t>
            </w:r>
            <w:r>
              <w:rPr>
                <w:rFonts w:hint="eastAsia" w:ascii="宋体" w:hAnsi="宋体" w:eastAsia="宋体" w:cs="Times New Roman"/>
                <w:kern w:val="0"/>
                <w:szCs w:val="21"/>
              </w:rPr>
              <w:t>教育教学水平</w:t>
            </w:r>
          </w:p>
        </w:tc>
        <w:tc>
          <w:tcPr>
            <w:tcW w:w="1701"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3.1</w:t>
            </w:r>
            <w:r>
              <w:rPr>
                <w:rFonts w:hint="eastAsia" w:ascii="宋体" w:hAnsi="宋体" w:eastAsia="宋体" w:cs="Times New Roman"/>
                <w:kern w:val="0"/>
                <w:szCs w:val="21"/>
              </w:rPr>
              <w:t>思政教育</w:t>
            </w: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3.1.1 </w:t>
            </w:r>
            <w:r>
              <w:rPr>
                <w:rFonts w:hint="eastAsia" w:ascii="宋体" w:hAnsi="宋体" w:eastAsia="宋体" w:cs="Times New Roman"/>
                <w:kern w:val="0"/>
                <w:szCs w:val="21"/>
              </w:rPr>
              <w:t>落实意识形态工作责任制，思想政治工作体系建设和“三全育人”工作格局建立情况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36"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3.1.2</w:t>
            </w:r>
            <w:r>
              <w:rPr>
                <w:rFonts w:hint="eastAsia" w:ascii="宋体" w:hAnsi="宋体" w:eastAsia="宋体" w:cs="Times New Roman"/>
                <w:kern w:val="0"/>
                <w:szCs w:val="21"/>
              </w:rPr>
              <w:t>加强思想政治理论课教师队伍和思政课程建设情况，按要求开设“习近平总书记关于教育的重要论述研究”课程情况（马克思主义学院）</w:t>
            </w:r>
          </w:p>
          <w:p>
            <w:pPr>
              <w:widowControl/>
              <w:rPr>
                <w:rFonts w:ascii="宋体" w:hAnsi="宋体" w:eastAsia="宋体" w:cs="宋体"/>
                <w:kern w:val="0"/>
                <w:szCs w:val="21"/>
              </w:rPr>
            </w:pPr>
            <w:r>
              <w:rPr>
                <w:rFonts w:hint="eastAsia" w:ascii="宋体" w:hAnsi="宋体" w:eastAsia="宋体" w:cs="宋体"/>
                <w:kern w:val="0"/>
                <w:szCs w:val="21"/>
              </w:rPr>
              <w:t>【量化指标】思政课专任教师与折合在校生比例≥1:350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3.1.3 </w:t>
            </w:r>
            <w:r>
              <w:rPr>
                <w:rFonts w:hint="eastAsia" w:ascii="宋体" w:hAnsi="宋体" w:eastAsia="宋体" w:cs="Times New Roman"/>
                <w:kern w:val="0"/>
                <w:szCs w:val="21"/>
              </w:rPr>
              <w:t>推动“课程思政”建设的创新举措与实施成效，课程思政示范课程、课程思政教学名师和团队的建设及选树情况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3.1.4</w:t>
            </w:r>
            <w:r>
              <w:rPr>
                <w:rFonts w:hint="eastAsia" w:ascii="宋体" w:hAnsi="宋体" w:eastAsia="宋体" w:cs="Times New Roman"/>
                <w:kern w:val="0"/>
                <w:szCs w:val="21"/>
              </w:rPr>
              <w:t>学院对教师、学生出现思想政治、道德品质等负面问题能否及时发现和妥当处置情况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3.2</w:t>
            </w:r>
            <w:r>
              <w:rPr>
                <w:rFonts w:hint="eastAsia" w:ascii="宋体" w:hAnsi="宋体" w:eastAsia="宋体" w:cs="Times New Roman"/>
                <w:kern w:val="0"/>
                <w:szCs w:val="21"/>
              </w:rPr>
              <w:t>本科地位</w:t>
            </w: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3.2.1 </w:t>
            </w:r>
            <w:r>
              <w:rPr>
                <w:rFonts w:hint="eastAsia" w:ascii="宋体" w:hAnsi="宋体" w:eastAsia="宋体" w:cs="Times New Roman"/>
                <w:kern w:val="0"/>
                <w:szCs w:val="21"/>
              </w:rPr>
              <w:t>坚持“以本为本”情况，党委重视、院长主抓落实一流本科教育的举措与实施成效；推进“四个回归”情况，推进学生刻苦读书学习、教师潜心教书育人、学院倾心培养社会主义建设者和接班人等方面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3.2.2 </w:t>
            </w:r>
            <w:r>
              <w:rPr>
                <w:rFonts w:hint="eastAsia" w:ascii="宋体" w:hAnsi="宋体" w:eastAsia="宋体" w:cs="Times New Roman"/>
                <w:kern w:val="0"/>
                <w:szCs w:val="21"/>
              </w:rPr>
              <w:t>学院在教师引进、职称评聘、绩效考核等制度设计中突出本科教育的具体举措与实施成效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3.2.3</w:t>
            </w:r>
            <w:r>
              <w:rPr>
                <w:rFonts w:hint="eastAsia" w:ascii="宋体" w:hAnsi="宋体" w:eastAsia="宋体" w:cs="Times New Roman"/>
                <w:kern w:val="0"/>
                <w:szCs w:val="21"/>
              </w:rPr>
              <w:t>教学经费、教学资源条件、教师精力投入等优先保障本科教学的机制建设情况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3.2.4</w:t>
            </w:r>
            <w:r>
              <w:rPr>
                <w:rFonts w:hint="eastAsia" w:ascii="宋体" w:hAnsi="宋体" w:eastAsia="宋体" w:cs="Times New Roman"/>
                <w:kern w:val="0"/>
                <w:szCs w:val="21"/>
              </w:rPr>
              <w:t>学院围绕教学中心地位开展服务工作情况、年度考核情况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3.3</w:t>
            </w:r>
            <w:r>
              <w:rPr>
                <w:rFonts w:hint="eastAsia" w:ascii="宋体" w:hAnsi="宋体" w:eastAsia="宋体" w:cs="Times New Roman"/>
                <w:kern w:val="0"/>
                <w:szCs w:val="21"/>
              </w:rPr>
              <w:t>教师队伍</w:t>
            </w: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3.3.1</w:t>
            </w:r>
            <w:r>
              <w:rPr>
                <w:rFonts w:hint="eastAsia" w:ascii="宋体" w:hAnsi="宋体" w:eastAsia="宋体" w:cs="Times New Roman"/>
                <w:kern w:val="0"/>
                <w:szCs w:val="21"/>
              </w:rPr>
              <w:t>保障把教师思想政治建设放在首位，落实师德师风是评价教师第一标准的情况，强化师德教育、加强师德宣传、严格考核管理、加强制度建设，落实师德考核贯穿于教育教学全过程等方面的情况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3.3.2 </w:t>
            </w:r>
            <w:r>
              <w:rPr>
                <w:rFonts w:ascii="宋体" w:hAnsi="宋体" w:eastAsia="宋体" w:cs="Times New Roman"/>
                <w:kern w:val="0"/>
                <w:szCs w:val="21"/>
              </w:rPr>
              <w:t>教师在争做“四有”好老师、四个“引路人”，自觉遵守《新时代高校教师职业行为十项准则》等方面的情况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3.3.3 </w:t>
            </w:r>
            <w:r>
              <w:rPr>
                <w:rFonts w:hint="eastAsia" w:ascii="宋体" w:hAnsi="宋体" w:eastAsia="宋体" w:cs="Times New Roman"/>
                <w:kern w:val="0"/>
                <w:szCs w:val="21"/>
              </w:rPr>
              <w:t>专任教师的教学能力满足一流人才培养需求情况；提升教师育人能力和水平的措施；引导高水平教师投入教育教学、推动教授全员为本科生上课、上好课的政策、举措与实施成效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【量化指标】具有博士学位教师占专任教师比例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【量化指标】主讲本科课程教授占教授总数的比例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【量化指标】教授主讲本科课程人均学时数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3.3.4</w:t>
            </w:r>
            <w:r>
              <w:rPr>
                <w:rFonts w:hint="eastAsia" w:ascii="宋体" w:hAnsi="宋体" w:eastAsia="宋体" w:cs="Times New Roman"/>
                <w:kern w:val="0"/>
                <w:szCs w:val="21"/>
              </w:rPr>
              <w:t>教师特别是教授和副教授开展教学研究、参与教学改革与建设情况及成效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【量化指标】教授、副教授担任专业负责人的专业占专业总数的比例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3.3.5 </w:t>
            </w:r>
            <w:r>
              <w:rPr>
                <w:rFonts w:hint="eastAsia" w:ascii="宋体" w:hAnsi="宋体" w:eastAsia="宋体" w:cs="Times New Roman"/>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3.3.6 </w:t>
            </w:r>
            <w:r>
              <w:rPr>
                <w:rFonts w:hint="eastAsia" w:ascii="宋体" w:hAnsi="宋体" w:eastAsia="宋体" w:cs="Times New Roman"/>
                <w:kern w:val="0"/>
                <w:szCs w:val="21"/>
              </w:rPr>
              <w:t>加强教师教学发展分中心、基层教学组织和青年教师队伍建设的举措与成效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【量化指标】设有基层教学组织的专业占专业总数的比例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【量化指标】教师发展分中心培训本院教师的比例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3.3.7</w:t>
            </w:r>
            <w:r>
              <w:rPr>
                <w:rFonts w:hint="eastAsia" w:ascii="宋体" w:hAnsi="宋体" w:eastAsia="宋体" w:cs="Times New Roman"/>
                <w:kern w:val="0"/>
                <w:szCs w:val="21"/>
              </w:rPr>
              <w:t>提升教师教学能力、实践能力、科研能力、信息技术应用能力的政策措施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3.3.8</w:t>
            </w:r>
            <w:r>
              <w:rPr>
                <w:rFonts w:hint="eastAsia" w:ascii="宋体" w:hAnsi="宋体" w:eastAsia="宋体" w:cs="Times New Roman"/>
                <w:kern w:val="0"/>
                <w:szCs w:val="21"/>
              </w:rPr>
              <w:t>教师队伍分类管理与建设情况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3.3.9 </w:t>
            </w:r>
            <w:r>
              <w:rPr>
                <w:rFonts w:hint="eastAsia" w:ascii="宋体" w:hAnsi="宋体" w:eastAsia="宋体" w:cs="Times New Roman"/>
                <w:kern w:val="0"/>
                <w:szCs w:val="21"/>
              </w:rPr>
              <w:t>教师赴国（境）外交流、访学、参加国际会议、合作研究等情况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3.4</w:t>
            </w:r>
            <w:r>
              <w:rPr>
                <w:rFonts w:hint="eastAsia" w:ascii="宋体" w:hAnsi="宋体" w:eastAsia="宋体" w:cs="Times New Roman"/>
                <w:kern w:val="0"/>
                <w:szCs w:val="21"/>
              </w:rPr>
              <w:t>学生发展与支持</w:t>
            </w: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3.4.1 </w:t>
            </w:r>
            <w:r>
              <w:rPr>
                <w:rFonts w:hint="eastAsia" w:ascii="宋体" w:hAnsi="宋体" w:eastAsia="宋体" w:cs="Times New Roman"/>
                <w:kern w:val="0"/>
                <w:szCs w:val="21"/>
              </w:rPr>
              <w:t>面向农村和贫困地区、民族地区等招生、培养举措与实施成效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3.4.2 </w:t>
            </w:r>
            <w:r>
              <w:rPr>
                <w:rFonts w:hint="eastAsia" w:ascii="宋体" w:hAnsi="宋体" w:eastAsia="宋体" w:cs="Times New Roman"/>
                <w:kern w:val="0"/>
                <w:szCs w:val="21"/>
              </w:rPr>
              <w:t>促进学生德智体美劳全面发展，学生理想信念和品德修养，加强学风建设，教育引导学生爱国、励志、求真、力行情况；开展通识教育、体育、美育、劳动教育的措施与成效；社团活动、校园文化、社会实践、志愿服务等活动开展情况及育人效果；建立系统化的学生发展和学业指导体系，探索学生成长增值评价，重视学生学习体验、自我发展能力和职业发展能力的具体措施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【量化指标】专职辅导员岗位与在校生比例≥1:200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【量化指标】本科生体质测试达标率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【量化指标】本科生在国内外文艺、体育、艺术等大赛中的获奖数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【量化指标】省级以上艺术展演、体育竞赛参赛获奖学生人次数占学生总数的比例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【量化指标】学生毕业必须修满公共艺术课程学分数≥2学分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【量化指标】劳动教育必修课或必修课程中劳动教育模块学时总数≥32学时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3.4.3</w:t>
            </w:r>
            <w:r>
              <w:rPr>
                <w:rFonts w:hint="eastAsia" w:ascii="宋体" w:hAnsi="宋体" w:eastAsia="宋体" w:cs="Times New Roman"/>
                <w:kern w:val="0"/>
                <w:szCs w:val="21"/>
              </w:rPr>
              <w:t>学生基础理论、知识面和创新能力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3.4.4 </w:t>
            </w:r>
            <w:r>
              <w:rPr>
                <w:rFonts w:hint="eastAsia" w:ascii="宋体" w:hAnsi="宋体" w:eastAsia="宋体" w:cs="Times New Roman"/>
                <w:kern w:val="0"/>
                <w:szCs w:val="21"/>
              </w:rPr>
              <w:t>强化实践育人、构建实践教学体系、推动实践教学改革情况；学院与科研院所、企业共建科研实践、实习实训基地情况；毕业论文（设计）选题来自教师专业实践、科研课题情况及完成质量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【量化指标】实践教学学分占总学分（学时）比例（人文社科类专业≥15%，理工农医类专业≥25%）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【量化指标】以实验、实习、工程实践和社会调查等实践性工作为基础的毕业论文（设计）比例≥50%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【量化指标】国家级、省级实践教学基地（包括实验教学示范中心、虚拟仿真实验中心、工程实践基地等）数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【量化指标】与行业企业共建的实验教学中心数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3.4.5</w:t>
            </w:r>
            <w:r>
              <w:rPr>
                <w:rFonts w:hint="eastAsia" w:ascii="宋体" w:hAnsi="宋体" w:eastAsia="宋体" w:cs="Times New Roman"/>
                <w:kern w:val="0"/>
                <w:szCs w:val="21"/>
              </w:rPr>
              <w:t>领导干部和教师参与学生工作的情况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3.4.6</w:t>
            </w:r>
            <w:r>
              <w:rPr>
                <w:rFonts w:hint="eastAsia" w:ascii="宋体" w:hAnsi="宋体" w:eastAsia="宋体" w:cs="Times New Roman"/>
                <w:kern w:val="0"/>
                <w:szCs w:val="21"/>
              </w:rPr>
              <w:t>学院开展学生指导服务工作（学业、职业生涯规划、就业、家庭经济困难学生资助、心理健康咨询等）情况，学业导师、心理辅导教师等配备及师生交流活动专门场所建设情况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【量化指标】专职就业指导教师和专职就业工作人员与应届毕业生比例≥1:500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3.4.7 </w:t>
            </w:r>
            <w:r>
              <w:rPr>
                <w:rFonts w:hint="eastAsia" w:ascii="宋体" w:hAnsi="宋体" w:eastAsia="宋体" w:cs="Times New Roman"/>
                <w:kern w:val="0"/>
                <w:szCs w:val="21"/>
              </w:rPr>
              <w:t>近五年专业领域的优秀毕业生十个典型案例及培养经验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560"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3.5</w:t>
            </w:r>
            <w:r>
              <w:rPr>
                <w:rFonts w:hint="eastAsia" w:ascii="宋体" w:hAnsi="宋体" w:eastAsia="宋体" w:cs="Times New Roman"/>
                <w:kern w:val="0"/>
                <w:szCs w:val="21"/>
              </w:rPr>
              <w:t>卓越教学</w:t>
            </w: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3.5.1 </w:t>
            </w:r>
            <w:r>
              <w:rPr>
                <w:rFonts w:hint="eastAsia" w:ascii="宋体" w:hAnsi="宋体" w:eastAsia="宋体" w:cs="Times New Roman"/>
                <w:kern w:val="0"/>
                <w:szCs w:val="21"/>
              </w:rPr>
              <w:t>专业设置、专业建设与国家重大发展战略及社会对创新型人才需求的契合情况；学院通过主辅修和双学士学位培养等举措促进复合型人才培养情况</w:t>
            </w:r>
          </w:p>
          <w:p>
            <w:pPr>
              <w:widowControl/>
              <w:rPr>
                <w:rFonts w:ascii="宋体" w:hAnsi="宋体" w:eastAsia="宋体" w:cs="宋体"/>
                <w:kern w:val="0"/>
                <w:szCs w:val="21"/>
              </w:rPr>
            </w:pPr>
            <w:r>
              <w:rPr>
                <w:rFonts w:hint="eastAsia" w:ascii="宋体" w:hAnsi="宋体" w:eastAsia="宋体" w:cs="宋体"/>
                <w:kern w:val="0"/>
                <w:szCs w:val="21"/>
              </w:rPr>
              <w:t>【量化指标】通过认证（评估）的专业占专业总数的比例</w:t>
            </w:r>
          </w:p>
          <w:p>
            <w:pPr>
              <w:widowControl/>
              <w:rPr>
                <w:rFonts w:ascii="宋体" w:hAnsi="宋体" w:eastAsia="宋体" w:cs="宋体"/>
                <w:kern w:val="0"/>
                <w:szCs w:val="21"/>
              </w:rPr>
            </w:pPr>
            <w:r>
              <w:rPr>
                <w:rFonts w:hint="eastAsia" w:ascii="宋体" w:hAnsi="宋体" w:eastAsia="宋体" w:cs="宋体"/>
                <w:kern w:val="0"/>
                <w:szCs w:val="21"/>
              </w:rPr>
              <w:t>【量化指标】近三年新增专业数</w:t>
            </w:r>
          </w:p>
          <w:p>
            <w:pPr>
              <w:widowControl/>
              <w:rPr>
                <w:rFonts w:ascii="宋体" w:hAnsi="宋体" w:eastAsia="宋体" w:cs="宋体"/>
                <w:kern w:val="0"/>
                <w:szCs w:val="21"/>
              </w:rPr>
            </w:pPr>
            <w:r>
              <w:rPr>
                <w:rFonts w:hint="eastAsia" w:ascii="宋体" w:hAnsi="宋体" w:eastAsia="宋体" w:cs="宋体"/>
                <w:kern w:val="0"/>
                <w:szCs w:val="21"/>
              </w:rPr>
              <w:t>【量化指标】近三年停招专业数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3.5.2 </w:t>
            </w:r>
            <w:r>
              <w:rPr>
                <w:rFonts w:hint="eastAsia" w:ascii="宋体" w:hAnsi="宋体" w:eastAsia="宋体" w:cs="Times New Roman"/>
                <w:kern w:val="0"/>
                <w:szCs w:val="21"/>
              </w:rPr>
              <w:t>专业培养目标符合学校及学院定位、适应社会经济发展需要、体现学生德智体美劳全面发展情况；培养方案符合国家专业类标准、体现产出导向理念情况；培养方案强化理论基础、突出科教融合、注重培养学生创新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3.5.3</w:t>
            </w:r>
            <w:r>
              <w:rPr>
                <w:rFonts w:hint="eastAsia" w:ascii="宋体" w:hAnsi="宋体" w:eastAsia="宋体" w:cs="Times New Roman"/>
                <w:kern w:val="0"/>
                <w:szCs w:val="21"/>
              </w:rPr>
              <w:t>实施“六卓越一拔尖”人才培养计划</w:t>
            </w:r>
            <w:r>
              <w:rPr>
                <w:rFonts w:ascii="Times New Roman" w:hAnsi="Times New Roman" w:eastAsia="宋体" w:cs="Times New Roman"/>
                <w:kern w:val="0"/>
                <w:szCs w:val="21"/>
              </w:rPr>
              <w:t>2.0</w:t>
            </w:r>
            <w:r>
              <w:rPr>
                <w:rFonts w:hint="eastAsia" w:ascii="宋体" w:hAnsi="宋体" w:eastAsia="宋体" w:cs="Times New Roman"/>
                <w:kern w:val="0"/>
                <w:szCs w:val="21"/>
              </w:rPr>
              <w:t>、新工科、新文科建设以及一流专业“双万计划”、一流课程“双万计划”建设等举措及实施成效，围绕“培育高水平教学成果”开展教研教改项目建设的举措及实施成效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【量化指标】基础学科拔尖学生培养计划学生数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3.5.4 </w:t>
            </w:r>
            <w:r>
              <w:rPr>
                <w:rFonts w:hint="eastAsia" w:ascii="宋体" w:hAnsi="宋体" w:eastAsia="宋体" w:cs="Times New Roman"/>
                <w:kern w:val="0"/>
                <w:szCs w:val="21"/>
              </w:rPr>
              <w:t>推动“以学为中心、以教为主导”的课堂教学改革，开展以学生学习成果为导向的教学评价情况；推进信息技术与教学过程融合，加强信息化教学环境与线上教学资源建设情况，提高课程高阶性、创新性和挑战度的举措与实施成效；加强课程体系整体设计，优化公共课、专业基础课和专业课比例结构，提高课程建设规划性、系统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【量化指标】开设本科课程门数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【量化指标】本科生生均课程门数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【量化指标】与行业企业共建、共同讲授的课程数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【量化指标】开出任选课和课程总数比例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【量化指标】小班（学生数≤30人）授课比例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【量化指标】入选来华留学品牌课程数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3.5.5 </w:t>
            </w:r>
            <w:r>
              <w:rPr>
                <w:rFonts w:hint="eastAsia" w:ascii="宋体" w:hAnsi="宋体" w:eastAsia="宋体" w:cs="Times New Roman"/>
                <w:kern w:val="0"/>
                <w:szCs w:val="21"/>
              </w:rPr>
              <w:t>学院党委高度重视教材建设与管理工作，建立健全教材管理工作制度情况，相关工作机构、教材审核选用标准和程序明确有效；推进马工程重点教材统一使用情况；对教材选用工作出现负面问题的处理情况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【量化指标】近五年公开出版的教材数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3.5.6 </w:t>
            </w:r>
            <w:r>
              <w:rPr>
                <w:rFonts w:hint="eastAsia" w:ascii="宋体" w:hAnsi="宋体" w:eastAsia="宋体" w:cs="Times New Roman"/>
                <w:kern w:val="0"/>
                <w:szCs w:val="21"/>
              </w:rPr>
              <w:t>优质教学资源建设及其共享情况；面向国家、行业领域需求的高水平教材建设举措与成效；</w:t>
            </w:r>
            <w:r>
              <w:rPr>
                <w:rFonts w:ascii="宋体" w:hAnsi="宋体" w:eastAsia="宋体" w:cs="Times New Roman"/>
                <w:kern w:val="0"/>
                <w:szCs w:val="21"/>
              </w:rPr>
              <w:t xml:space="preserve"> </w:t>
            </w:r>
            <w:r>
              <w:rPr>
                <w:rFonts w:hint="eastAsia" w:ascii="宋体" w:hAnsi="宋体" w:eastAsia="宋体" w:cs="Times New Roman"/>
                <w:kern w:val="0"/>
                <w:szCs w:val="21"/>
              </w:rPr>
              <w:t>适应</w:t>
            </w:r>
            <w:r>
              <w:rPr>
                <w:rFonts w:ascii="宋体" w:hAnsi="宋体" w:eastAsia="宋体" w:cs="Times New Roman"/>
                <w:kern w:val="0"/>
                <w:szCs w:val="21"/>
              </w:rPr>
              <w:t>“</w:t>
            </w:r>
            <w:r>
              <w:rPr>
                <w:rFonts w:hint="eastAsia" w:ascii="宋体" w:hAnsi="宋体" w:eastAsia="宋体" w:cs="Times New Roman"/>
                <w:kern w:val="0"/>
                <w:szCs w:val="21"/>
              </w:rPr>
              <w:t>互联网</w:t>
            </w:r>
            <w:r>
              <w:rPr>
                <w:rFonts w:ascii="宋体" w:hAnsi="宋体" w:eastAsia="宋体" w:cs="Times New Roman"/>
                <w:kern w:val="0"/>
                <w:szCs w:val="21"/>
              </w:rPr>
              <w:t>+”</w:t>
            </w:r>
            <w:r>
              <w:rPr>
                <w:rFonts w:hint="eastAsia" w:ascii="宋体" w:hAnsi="宋体" w:eastAsia="宋体" w:cs="Times New Roman"/>
                <w:kern w:val="0"/>
                <w:szCs w:val="21"/>
              </w:rPr>
              <w:t>课程教学需要的智能实验室等教学设施和条件建设及使用效果；优质的学科资源、科研资源转化应用于本科教育教学的情况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【量化指标】生均年教学日常运行支出≥1200元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【量化指标】年新增教学科研仪器设备所占比例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【量化指标】生均教学科研仪器设备值≥5000元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【量化指标】国家级教学育人基地（平台、中心）数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3.5.7 </w:t>
            </w:r>
            <w:r>
              <w:rPr>
                <w:rFonts w:hint="eastAsia" w:ascii="宋体" w:hAnsi="宋体" w:eastAsia="宋体" w:cs="Times New Roman"/>
                <w:kern w:val="0"/>
                <w:szCs w:val="21"/>
              </w:rPr>
              <w:t>推动招生、</w:t>
            </w:r>
            <w:r>
              <w:rPr>
                <w:rFonts w:ascii="宋体" w:hAnsi="宋体" w:eastAsia="宋体" w:cs="Times New Roman"/>
                <w:kern w:val="0"/>
                <w:szCs w:val="21"/>
              </w:rPr>
              <w:t>就业</w:t>
            </w:r>
            <w:r>
              <w:rPr>
                <w:rFonts w:hint="eastAsia" w:ascii="宋体" w:hAnsi="宋体" w:eastAsia="宋体" w:cs="Times New Roman"/>
                <w:kern w:val="0"/>
                <w:szCs w:val="21"/>
              </w:rPr>
              <w:t>与培养联动改革的举措及成效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818"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3.5.8</w:t>
            </w:r>
            <w:r>
              <w:rPr>
                <w:rFonts w:hint="eastAsia" w:ascii="宋体" w:hAnsi="宋体" w:eastAsia="宋体" w:cs="Times New Roman"/>
                <w:kern w:val="0"/>
                <w:szCs w:val="21"/>
              </w:rPr>
              <w:t>推动人才培养国际化的具体举措与成效，与国（境）外大学合作办学、合作育人以及与本科教育相关的国际交流活动和来华留学生教育开展情况；国际先进教育理念、优质教育资源的吸收内化、培育和输出共享情况；学生赴国（境）外交流、访学、实习、竞赛、参加国际会议、合作研究等情况</w:t>
            </w:r>
          </w:p>
          <w:p>
            <w:pPr>
              <w:widowControl/>
              <w:rPr>
                <w:rFonts w:ascii="宋体" w:hAnsi="宋体" w:eastAsia="宋体" w:cs="宋体"/>
                <w:kern w:val="0"/>
                <w:szCs w:val="21"/>
              </w:rPr>
            </w:pPr>
            <w:r>
              <w:rPr>
                <w:rFonts w:hint="eastAsia" w:ascii="宋体" w:hAnsi="宋体" w:eastAsia="宋体" w:cs="宋体"/>
                <w:kern w:val="0"/>
                <w:szCs w:val="21"/>
              </w:rPr>
              <w:t>【量化指标】专任教师中具有一年以上国（境）外经历的教师比例</w:t>
            </w:r>
          </w:p>
          <w:p>
            <w:pPr>
              <w:widowControl/>
              <w:rPr>
                <w:rFonts w:ascii="宋体" w:hAnsi="宋体" w:eastAsia="宋体" w:cs="宋体"/>
                <w:kern w:val="0"/>
                <w:szCs w:val="21"/>
              </w:rPr>
            </w:pPr>
            <w:r>
              <w:rPr>
                <w:rFonts w:hint="eastAsia" w:ascii="宋体" w:hAnsi="宋体" w:eastAsia="宋体" w:cs="宋体"/>
                <w:kern w:val="0"/>
                <w:szCs w:val="21"/>
              </w:rPr>
              <w:t>【量化指标】在学期间赴国（境）外高校访学的学生数占学院人数的比例</w:t>
            </w:r>
          </w:p>
          <w:p>
            <w:pPr>
              <w:widowControl/>
              <w:rPr>
                <w:rFonts w:ascii="宋体" w:hAnsi="宋体" w:eastAsia="宋体" w:cs="宋体"/>
                <w:kern w:val="0"/>
                <w:szCs w:val="21"/>
              </w:rPr>
            </w:pPr>
            <w:r>
              <w:rPr>
                <w:rFonts w:hint="eastAsia" w:ascii="宋体" w:hAnsi="宋体" w:eastAsia="宋体" w:cs="宋体"/>
                <w:kern w:val="0"/>
                <w:szCs w:val="21"/>
              </w:rPr>
              <w:t>【量化指标】国（境）外高校本科生来院访学学生数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3.6</w:t>
            </w:r>
            <w:r>
              <w:rPr>
                <w:rFonts w:hint="eastAsia" w:ascii="宋体" w:hAnsi="宋体" w:eastAsia="宋体" w:cs="Times New Roman"/>
                <w:kern w:val="0"/>
                <w:szCs w:val="21"/>
              </w:rPr>
              <w:t>就业与创新创业教育</w:t>
            </w: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3.6.1 </w:t>
            </w:r>
            <w:r>
              <w:rPr>
                <w:rFonts w:hint="eastAsia" w:ascii="宋体" w:hAnsi="宋体" w:eastAsia="宋体" w:cs="Times New Roman"/>
                <w:kern w:val="0"/>
                <w:szCs w:val="21"/>
              </w:rPr>
              <w:t>将创新创业教育贯穿于人才培养全过程、融入专业教育的举措及成效；创新创业教育工作体系与创新创业教育平台建设情况；学生参与创新创业教育积极性及创新创业教育成果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【量化指标】产学合作协同育人项目数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【量化指标】本科生参加各级各类创新创业实践活动人数及比例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【量化指标】“互联网+”大学生创新创业大赛获奖数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【量化指标】省级以上学科竞赛获奖学生人次数占学生总数的比例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3.6.</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 xml:space="preserve"> </w:t>
            </w:r>
            <w:r>
              <w:rPr>
                <w:rFonts w:hint="eastAsia" w:ascii="宋体" w:hAnsi="宋体" w:eastAsia="宋体" w:cs="Times New Roman"/>
                <w:kern w:val="0"/>
                <w:szCs w:val="21"/>
              </w:rPr>
              <w:t>以高水平的科学研究提高学生创新创业能力的情况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【量化指标】本科生以第一作者/通讯作者在公开及核心期刊发表的论文数及以第一作者获批国家发明专利数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7" w:hRule="atLeast"/>
          <w:jc w:val="center"/>
        </w:trPr>
        <w:tc>
          <w:tcPr>
            <w:tcW w:w="1271" w:type="dxa"/>
            <w:vMerge w:val="continue"/>
            <w:vAlign w:val="center"/>
          </w:tcPr>
          <w:p>
            <w:pPr>
              <w:widowControl/>
              <w:jc w:val="left"/>
              <w:rPr>
                <w:rFonts w:ascii="Times New Roman" w:hAnsi="Times New Roman" w:eastAsia="宋体" w:cs="Times New Roman"/>
                <w:kern w:val="0"/>
                <w:szCs w:val="21"/>
              </w:rPr>
            </w:pPr>
          </w:p>
        </w:tc>
        <w:tc>
          <w:tcPr>
            <w:tcW w:w="1701" w:type="dxa"/>
            <w:vMerge w:val="continue"/>
            <w:vAlign w:val="center"/>
          </w:tcPr>
          <w:p>
            <w:pPr>
              <w:widowControl/>
              <w:jc w:val="left"/>
              <w:rPr>
                <w:rFonts w:ascii="Times New Roman" w:hAnsi="Times New Roman" w:eastAsia="宋体" w:cs="Times New Roman"/>
                <w:kern w:val="0"/>
                <w:szCs w:val="21"/>
              </w:rPr>
            </w:pPr>
          </w:p>
        </w:tc>
        <w:tc>
          <w:tcPr>
            <w:tcW w:w="5812"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3.6.</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 xml:space="preserve"> </w:t>
            </w:r>
            <w:r>
              <w:rPr>
                <w:rFonts w:hint="eastAsia" w:ascii="宋体" w:hAnsi="宋体" w:eastAsia="宋体" w:cs="Times New Roman"/>
                <w:kern w:val="0"/>
                <w:szCs w:val="21"/>
              </w:rPr>
              <w:t>开展大学生职业生涯规划教育的举措及成效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1"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r>
              <w:rPr>
                <w:rFonts w:hint="eastAsia" w:ascii="宋体" w:hAnsi="宋体" w:eastAsia="宋体" w:cs="Times New Roman"/>
                <w:kern w:val="0"/>
                <w:szCs w:val="21"/>
              </w:rPr>
              <w:t>特色亮点工作</w:t>
            </w:r>
          </w:p>
        </w:tc>
        <w:tc>
          <w:tcPr>
            <w:tcW w:w="7523" w:type="dxa"/>
            <w:gridSpan w:val="3"/>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学院开展的具有特色亮点的人才培养模式改革、教学内涵建设、体制机制改革等方面的重要改革举措与成效</w:t>
            </w:r>
          </w:p>
        </w:tc>
      </w:tr>
    </w:tbl>
    <w:p>
      <w:pPr>
        <w:spacing w:line="300" w:lineRule="exact"/>
        <w:rPr>
          <w:rFonts w:ascii="Times New Roman" w:hAnsi="Times New Roman" w:eastAsia="宋体" w:cs="宋体"/>
          <w:b/>
          <w:kern w:val="0"/>
          <w:szCs w:val="21"/>
        </w:rPr>
      </w:pPr>
      <w:r>
        <w:rPr>
          <w:rFonts w:hint="eastAsia" w:ascii="Times New Roman" w:hAnsi="Times New Roman" w:eastAsia="宋体" w:cs="宋体"/>
          <w:b/>
          <w:kern w:val="0"/>
          <w:szCs w:val="21"/>
        </w:rPr>
        <w:t>备注：</w:t>
      </w:r>
    </w:p>
    <w:p>
      <w:pPr>
        <w:spacing w:line="300" w:lineRule="exact"/>
        <w:ind w:firstLine="420" w:firstLineChars="200"/>
        <w:rPr>
          <w:rFonts w:ascii="Times New Roman" w:hAnsi="Times New Roman" w:eastAsia="宋体" w:cs="宋体"/>
          <w:kern w:val="0"/>
          <w:szCs w:val="21"/>
        </w:rPr>
      </w:pPr>
      <w:r>
        <w:rPr>
          <w:rFonts w:hint="eastAsia" w:ascii="Times New Roman" w:hAnsi="Times New Roman" w:eastAsia="宋体" w:cs="宋体"/>
          <w:kern w:val="0"/>
          <w:szCs w:val="21"/>
        </w:rPr>
        <w:t>1.生均年教学日常运行支出=学院教学日常运行支出</w:t>
      </w:r>
      <w:r>
        <w:rPr>
          <w:rFonts w:ascii="Times New Roman" w:hAnsi="Times New Roman" w:eastAsia="宋体" w:cs="宋体"/>
          <w:kern w:val="0"/>
          <w:szCs w:val="21"/>
        </w:rPr>
        <w:t>/</w:t>
      </w:r>
      <w:r>
        <w:rPr>
          <w:rFonts w:hint="eastAsia" w:ascii="Times New Roman" w:hAnsi="Times New Roman" w:eastAsia="宋体" w:cs="宋体"/>
          <w:kern w:val="0"/>
          <w:szCs w:val="21"/>
        </w:rPr>
        <w:t>学院折合在校生数。教学日常运行支出：指学校开展普通本专科教学活动及其辅助活动发生的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w:t>
      </w:r>
    </w:p>
    <w:p>
      <w:pPr>
        <w:spacing w:line="300" w:lineRule="exact"/>
        <w:ind w:firstLine="420" w:firstLineChars="200"/>
        <w:rPr>
          <w:rFonts w:ascii="Times New Roman" w:hAnsi="Times New Roman" w:eastAsia="宋体" w:cs="宋体"/>
          <w:kern w:val="0"/>
          <w:szCs w:val="21"/>
        </w:rPr>
      </w:pPr>
      <w:r>
        <w:rPr>
          <w:rFonts w:ascii="Times New Roman" w:hAnsi="Times New Roman" w:eastAsia="宋体" w:cs="宋体"/>
          <w:kern w:val="0"/>
          <w:szCs w:val="21"/>
        </w:rPr>
        <w:t>2.</w:t>
      </w:r>
      <w:r>
        <w:rPr>
          <w:rFonts w:hint="eastAsia" w:ascii="Times New Roman" w:hAnsi="Times New Roman" w:eastAsia="宋体" w:cs="宋体"/>
          <w:kern w:val="0"/>
          <w:szCs w:val="21"/>
        </w:rPr>
        <w:t>生均教学科研仪器设备值=学院教学与科研仪器设备总资产值/学院折合在校生数。</w:t>
      </w:r>
    </w:p>
    <w:p>
      <w:pPr>
        <w:spacing w:line="300" w:lineRule="exact"/>
        <w:ind w:firstLine="420" w:firstLineChars="200"/>
        <w:rPr>
          <w:rFonts w:ascii="Times New Roman" w:hAnsi="Times New Roman" w:eastAsia="宋体" w:cs="宋体"/>
          <w:kern w:val="0"/>
          <w:szCs w:val="21"/>
        </w:rPr>
      </w:pPr>
      <w:r>
        <w:rPr>
          <w:rFonts w:ascii="Times New Roman" w:hAnsi="Times New Roman" w:eastAsia="宋体" w:cs="宋体"/>
          <w:kern w:val="0"/>
          <w:szCs w:val="21"/>
        </w:rPr>
        <w:t>3.</w:t>
      </w:r>
      <w:r>
        <w:rPr>
          <w:rFonts w:hint="eastAsia" w:ascii="Times New Roman" w:hAnsi="Times New Roman" w:eastAsia="宋体" w:cs="宋体"/>
          <w:kern w:val="0"/>
          <w:szCs w:val="21"/>
        </w:rPr>
        <w:t>学院折合在校生数=普通本专科在校生数+硕士研究生在校生数*1.5+博士研究生在校生数*2+普通本专科留学生在校生数+硕士留学生在校生数*1.5+博士留学生在校生数*2。</w:t>
      </w:r>
    </w:p>
    <w:p>
      <w:pPr>
        <w:spacing w:line="300" w:lineRule="exact"/>
        <w:ind w:firstLine="420" w:firstLineChars="200"/>
        <w:rPr>
          <w:rFonts w:ascii="Times New Roman" w:hAnsi="Times New Roman" w:eastAsia="宋体" w:cs="宋体"/>
          <w:kern w:val="0"/>
          <w:szCs w:val="21"/>
        </w:rPr>
      </w:pPr>
      <w:r>
        <w:rPr>
          <w:rFonts w:ascii="Times New Roman" w:hAnsi="Times New Roman" w:eastAsia="宋体" w:cs="宋体"/>
          <w:kern w:val="0"/>
          <w:szCs w:val="21"/>
        </w:rPr>
        <w:t>4.</w:t>
      </w:r>
      <w:r>
        <w:rPr>
          <w:rFonts w:hint="eastAsia" w:ascii="Times New Roman" w:hAnsi="Times New Roman" w:eastAsia="宋体" w:cs="宋体"/>
          <w:kern w:val="0"/>
          <w:szCs w:val="21"/>
        </w:rPr>
        <w:t>专业生师比=专业所在</w:t>
      </w:r>
      <w:r>
        <w:rPr>
          <w:rFonts w:ascii="Times New Roman" w:hAnsi="Times New Roman" w:eastAsia="宋体" w:cs="宋体"/>
          <w:kern w:val="0"/>
          <w:szCs w:val="21"/>
        </w:rPr>
        <w:t>专业类</w:t>
      </w:r>
      <w:r>
        <w:rPr>
          <w:rFonts w:hint="eastAsia" w:ascii="Times New Roman" w:hAnsi="Times New Roman" w:eastAsia="宋体" w:cs="宋体"/>
          <w:kern w:val="0"/>
          <w:szCs w:val="21"/>
        </w:rPr>
        <w:t>全体本科生</w:t>
      </w:r>
      <w:r>
        <w:rPr>
          <w:rFonts w:ascii="Times New Roman" w:hAnsi="Times New Roman" w:eastAsia="宋体" w:cs="宋体"/>
          <w:kern w:val="0"/>
          <w:szCs w:val="21"/>
        </w:rPr>
        <w:t>数</w:t>
      </w:r>
      <w:r>
        <w:rPr>
          <w:rFonts w:hint="eastAsia" w:ascii="Times New Roman" w:hAnsi="Times New Roman" w:eastAsia="宋体" w:cs="宋体"/>
          <w:kern w:val="0"/>
          <w:szCs w:val="21"/>
        </w:rPr>
        <w:t>/专业类专任教师总数。</w:t>
      </w:r>
    </w:p>
    <w:p>
      <w:pPr>
        <w:spacing w:line="300" w:lineRule="exact"/>
        <w:ind w:firstLine="420" w:firstLineChars="200"/>
        <w:rPr>
          <w:rFonts w:ascii="Times New Roman" w:hAnsi="Times New Roman" w:eastAsia="宋体" w:cs="宋体"/>
          <w:kern w:val="0"/>
          <w:szCs w:val="21"/>
        </w:rPr>
      </w:pPr>
      <w:r>
        <w:rPr>
          <w:rFonts w:hint="eastAsia" w:ascii="Times New Roman" w:hAnsi="Times New Roman" w:eastAsia="宋体" w:cs="宋体"/>
          <w:kern w:val="0"/>
          <w:szCs w:val="21"/>
        </w:rPr>
        <w:t>5.专任</w:t>
      </w:r>
      <w:r>
        <w:rPr>
          <w:rFonts w:ascii="Times New Roman" w:hAnsi="Times New Roman" w:eastAsia="宋体" w:cs="宋体"/>
          <w:kern w:val="0"/>
          <w:szCs w:val="21"/>
        </w:rPr>
        <w:t>教师为</w:t>
      </w:r>
      <w:r>
        <w:rPr>
          <w:rFonts w:hint="eastAsia" w:ascii="Times New Roman" w:hAnsi="Times New Roman" w:eastAsia="宋体" w:cs="宋体"/>
          <w:kern w:val="0"/>
          <w:szCs w:val="21"/>
        </w:rPr>
        <w:t>在职</w:t>
      </w:r>
      <w:r>
        <w:rPr>
          <w:rFonts w:ascii="Times New Roman" w:hAnsi="Times New Roman" w:eastAsia="宋体" w:cs="宋体"/>
          <w:kern w:val="0"/>
          <w:szCs w:val="21"/>
        </w:rPr>
        <w:t>且承担</w:t>
      </w:r>
      <w:r>
        <w:rPr>
          <w:rFonts w:hint="eastAsia" w:ascii="Times New Roman" w:hAnsi="Times New Roman" w:eastAsia="宋体" w:cs="宋体"/>
          <w:kern w:val="0"/>
          <w:szCs w:val="21"/>
        </w:rPr>
        <w:t>学院</w:t>
      </w:r>
      <w:r>
        <w:rPr>
          <w:rFonts w:ascii="Times New Roman" w:hAnsi="Times New Roman" w:eastAsia="宋体" w:cs="宋体"/>
          <w:kern w:val="0"/>
          <w:szCs w:val="21"/>
        </w:rPr>
        <w:t>教学任务</w:t>
      </w:r>
      <w:r>
        <w:rPr>
          <w:rFonts w:hint="eastAsia" w:ascii="Times New Roman" w:hAnsi="Times New Roman" w:eastAsia="宋体" w:cs="宋体"/>
          <w:kern w:val="0"/>
          <w:szCs w:val="21"/>
        </w:rPr>
        <w:t>，</w:t>
      </w:r>
      <w:r>
        <w:rPr>
          <w:rFonts w:ascii="Times New Roman" w:hAnsi="Times New Roman" w:eastAsia="宋体" w:cs="宋体"/>
          <w:kern w:val="0"/>
          <w:szCs w:val="21"/>
        </w:rPr>
        <w:t>身份为非实验技术人员、非辅导员的</w:t>
      </w:r>
      <w:r>
        <w:rPr>
          <w:rFonts w:hint="eastAsia" w:ascii="Times New Roman" w:hAnsi="Times New Roman" w:eastAsia="宋体" w:cs="宋体"/>
          <w:kern w:val="0"/>
          <w:szCs w:val="21"/>
        </w:rPr>
        <w:t>教师</w:t>
      </w:r>
      <w:r>
        <w:rPr>
          <w:rFonts w:ascii="Times New Roman" w:hAnsi="Times New Roman" w:eastAsia="宋体" w:cs="宋体"/>
          <w:kern w:val="0"/>
          <w:szCs w:val="21"/>
        </w:rPr>
        <w:t>。</w:t>
      </w:r>
    </w:p>
    <w:p>
      <w:pPr>
        <w:spacing w:line="300" w:lineRule="exact"/>
        <w:ind w:firstLine="420" w:firstLineChars="200"/>
        <w:rPr>
          <w:rFonts w:ascii="Times New Roman" w:hAnsi="Times New Roman" w:eastAsia="宋体" w:cs="宋体"/>
          <w:kern w:val="0"/>
          <w:szCs w:val="21"/>
        </w:rPr>
      </w:pPr>
      <w:r>
        <w:rPr>
          <w:rFonts w:ascii="Times New Roman" w:hAnsi="Times New Roman" w:eastAsia="宋体" w:cs="宋体"/>
          <w:kern w:val="0"/>
          <w:szCs w:val="21"/>
        </w:rPr>
        <w:t>6.</w:t>
      </w:r>
      <w:r>
        <w:rPr>
          <w:rFonts w:hint="eastAsia" w:ascii="Times New Roman" w:hAnsi="Times New Roman" w:eastAsia="宋体" w:cs="宋体"/>
          <w:kern w:val="0"/>
          <w:szCs w:val="21"/>
        </w:rPr>
        <w:t>专任教师总数=校内专任教师数+学年聘请校外教师数*0.5。其中：校外教师须承担本校教学任务、有聘用合同和劳务费发放记录，聘请校外教师不超过专任教师总数的四分之一。</w:t>
      </w:r>
    </w:p>
    <w:p>
      <w:pPr>
        <w:adjustRightInd w:val="0"/>
        <w:spacing w:line="360" w:lineRule="auto"/>
        <w:rPr>
          <w:rFonts w:ascii="黑体" w:hAnsi="黑体" w:eastAsia="黑体" w:cs="Times New Roman"/>
          <w:sz w:val="28"/>
          <w:szCs w:val="28"/>
        </w:rPr>
        <w:sectPr>
          <w:headerReference r:id="rId5" w:type="default"/>
          <w:footerReference r:id="rId6" w:type="default"/>
          <w:pgSz w:w="11906" w:h="16838"/>
          <w:pgMar w:top="1440" w:right="1800" w:bottom="1440" w:left="1800" w:header="851" w:footer="567" w:gutter="0"/>
          <w:cols w:space="425" w:num="1"/>
          <w:docGrid w:type="lines" w:linePitch="312" w:charSpace="0"/>
        </w:sectPr>
      </w:pPr>
    </w:p>
    <w:p>
      <w:pPr>
        <w:adjustRightInd w:val="0"/>
        <w:spacing w:line="360" w:lineRule="auto"/>
        <w:rPr>
          <w:rFonts w:ascii="黑体" w:hAnsi="黑体" w:eastAsia="黑体" w:cs="Times New Roman"/>
          <w:sz w:val="28"/>
          <w:szCs w:val="28"/>
        </w:rPr>
      </w:pPr>
      <w:r>
        <w:rPr>
          <w:rFonts w:hint="eastAsia" w:ascii="黑体" w:hAnsi="黑体" w:eastAsia="黑体" w:cs="Times New Roman"/>
          <w:sz w:val="28"/>
          <w:szCs w:val="28"/>
        </w:rPr>
        <w:t>附件</w:t>
      </w:r>
      <w:r>
        <w:rPr>
          <w:rFonts w:ascii="黑体" w:hAnsi="黑体" w:eastAsia="黑体" w:cs="Times New Roman"/>
          <w:sz w:val="28"/>
          <w:szCs w:val="28"/>
        </w:rPr>
        <w:t>2</w:t>
      </w:r>
    </w:p>
    <w:p>
      <w:pPr>
        <w:rPr>
          <w:rFonts w:ascii="等线" w:hAnsi="等线" w:eastAsia="等线" w:cs="Times New Roman"/>
        </w:rPr>
      </w:pPr>
    </w:p>
    <w:p>
      <w:pPr>
        <w:keepNext/>
        <w:keepLines/>
        <w:spacing w:before="120" w:after="120" w:line="578" w:lineRule="auto"/>
        <w:jc w:val="center"/>
        <w:outlineLvl w:val="0"/>
        <w:rPr>
          <w:rFonts w:ascii="华文中宋" w:hAnsi="华文中宋" w:eastAsia="华文中宋" w:cs="Times New Roman"/>
          <w:b/>
          <w:bCs/>
          <w:kern w:val="44"/>
          <w:sz w:val="44"/>
          <w:szCs w:val="44"/>
        </w:rPr>
      </w:pPr>
      <w:r>
        <w:rPr>
          <w:rFonts w:hint="eastAsia" w:ascii="华文中宋" w:hAnsi="华文中宋" w:eastAsia="华文中宋" w:cs="Times New Roman"/>
          <w:b/>
          <w:bCs/>
          <w:kern w:val="44"/>
          <w:sz w:val="44"/>
          <w:szCs w:val="44"/>
        </w:rPr>
        <w:t>新一轮本科教育教学审核评估</w:t>
      </w:r>
    </w:p>
    <w:p>
      <w:pPr>
        <w:keepNext/>
        <w:keepLines/>
        <w:spacing w:before="120" w:after="120" w:line="578" w:lineRule="auto"/>
        <w:jc w:val="center"/>
        <w:outlineLvl w:val="0"/>
        <w:rPr>
          <w:rFonts w:ascii="华文中宋" w:hAnsi="华文中宋" w:eastAsia="华文中宋" w:cs="Times New Roman"/>
          <w:b/>
          <w:bCs/>
          <w:kern w:val="44"/>
          <w:sz w:val="44"/>
          <w:szCs w:val="44"/>
        </w:rPr>
      </w:pPr>
      <w:r>
        <w:rPr>
          <w:rFonts w:hint="eastAsia" w:ascii="华文中宋" w:hAnsi="华文中宋" w:eastAsia="华文中宋" w:cs="Times New Roman"/>
          <w:b/>
          <w:bCs/>
          <w:kern w:val="44"/>
          <w:sz w:val="44"/>
          <w:szCs w:val="44"/>
        </w:rPr>
        <w:t>学院自评报告</w:t>
      </w:r>
    </w:p>
    <w:p>
      <w:pPr>
        <w:rPr>
          <w:rFonts w:ascii="华文中宋" w:hAnsi="华文中宋" w:eastAsia="华文中宋" w:cs="Times New Roman"/>
          <w:b/>
          <w:bCs/>
        </w:rPr>
      </w:pPr>
    </w:p>
    <w:p>
      <w:pPr>
        <w:rPr>
          <w:rFonts w:ascii="华文中宋" w:hAnsi="华文中宋" w:eastAsia="华文中宋" w:cs="Times New Roman"/>
          <w:b/>
          <w:bCs/>
        </w:rPr>
      </w:pPr>
    </w:p>
    <w:p>
      <w:pPr>
        <w:rPr>
          <w:rFonts w:ascii="华文中宋" w:hAnsi="华文中宋" w:eastAsia="华文中宋" w:cs="Times New Roman"/>
          <w:b/>
          <w:bCs/>
        </w:rPr>
      </w:pPr>
    </w:p>
    <w:p>
      <w:pPr>
        <w:rPr>
          <w:rFonts w:ascii="华文中宋" w:hAnsi="华文中宋" w:eastAsia="华文中宋" w:cs="Times New Roman"/>
          <w:b/>
          <w:bCs/>
        </w:rPr>
      </w:pPr>
    </w:p>
    <w:p>
      <w:pPr>
        <w:rPr>
          <w:rFonts w:ascii="华文中宋" w:hAnsi="华文中宋" w:eastAsia="华文中宋" w:cs="Times New Roman"/>
          <w:b/>
          <w:bCs/>
        </w:rPr>
      </w:pPr>
    </w:p>
    <w:p>
      <w:pPr>
        <w:rPr>
          <w:rFonts w:ascii="华文中宋" w:hAnsi="华文中宋" w:eastAsia="华文中宋" w:cs="Times New Roman"/>
          <w:b/>
          <w:bCs/>
        </w:rPr>
      </w:pPr>
    </w:p>
    <w:p>
      <w:pPr>
        <w:rPr>
          <w:rFonts w:ascii="华文中宋" w:hAnsi="华文中宋" w:eastAsia="华文中宋" w:cs="Times New Roman"/>
          <w:b/>
          <w:bCs/>
        </w:rPr>
      </w:pPr>
    </w:p>
    <w:p>
      <w:pPr>
        <w:rPr>
          <w:rFonts w:ascii="华文中宋" w:hAnsi="华文中宋" w:eastAsia="华文中宋" w:cs="Times New Roman"/>
          <w:b/>
          <w:bCs/>
        </w:rPr>
      </w:pPr>
    </w:p>
    <w:p>
      <w:pPr>
        <w:rPr>
          <w:rFonts w:ascii="华文中宋" w:hAnsi="华文中宋" w:eastAsia="华文中宋" w:cs="Times New Roman"/>
          <w:b/>
          <w:bCs/>
        </w:rPr>
      </w:pPr>
    </w:p>
    <w:p>
      <w:pPr>
        <w:rPr>
          <w:rFonts w:ascii="华文中宋" w:hAnsi="华文中宋" w:eastAsia="华文中宋" w:cs="Times New Roman"/>
          <w:b/>
          <w:bCs/>
        </w:rPr>
      </w:pPr>
    </w:p>
    <w:p>
      <w:pPr>
        <w:rPr>
          <w:rFonts w:ascii="华文中宋" w:hAnsi="华文中宋" w:eastAsia="华文中宋" w:cs="Times New Roman"/>
          <w:b/>
          <w:bCs/>
        </w:rPr>
      </w:pPr>
    </w:p>
    <w:p>
      <w:pPr>
        <w:rPr>
          <w:rFonts w:ascii="华文中宋" w:hAnsi="华文中宋" w:eastAsia="华文中宋" w:cs="Times New Roman"/>
          <w:b/>
          <w:bCs/>
        </w:rPr>
      </w:pPr>
    </w:p>
    <w:p>
      <w:pPr>
        <w:rPr>
          <w:rFonts w:ascii="华文中宋" w:hAnsi="华文中宋" w:eastAsia="华文中宋" w:cs="Times New Roman"/>
          <w:b/>
          <w:bCs/>
        </w:rPr>
      </w:pPr>
    </w:p>
    <w:p>
      <w:pPr>
        <w:keepNext/>
        <w:keepLines/>
        <w:spacing w:before="260" w:after="260" w:line="415" w:lineRule="auto"/>
        <w:ind w:firstLine="641" w:firstLineChars="200"/>
        <w:outlineLvl w:val="1"/>
        <w:rPr>
          <w:rFonts w:ascii="华文中宋" w:hAnsi="华文中宋" w:eastAsia="华文中宋" w:cs="Times New Roman"/>
          <w:b/>
          <w:bCs/>
          <w:sz w:val="32"/>
          <w:szCs w:val="32"/>
        </w:rPr>
      </w:pPr>
      <w:r>
        <w:rPr>
          <w:rFonts w:hint="eastAsia" w:ascii="华文中宋" w:hAnsi="华文中宋" w:eastAsia="华文中宋" w:cs="Times New Roman"/>
          <w:b/>
          <w:bCs/>
          <w:sz w:val="32"/>
          <w:szCs w:val="32"/>
        </w:rPr>
        <w:t>学院名称（公章）：</w:t>
      </w:r>
    </w:p>
    <w:p>
      <w:pPr>
        <w:keepNext/>
        <w:keepLines/>
        <w:spacing w:before="260" w:after="260" w:line="415" w:lineRule="auto"/>
        <w:ind w:firstLine="641" w:firstLineChars="200"/>
        <w:outlineLvl w:val="1"/>
        <w:rPr>
          <w:rFonts w:ascii="华文中宋" w:hAnsi="华文中宋" w:eastAsia="华文中宋" w:cs="Times New Roman"/>
          <w:b/>
          <w:bCs/>
          <w:sz w:val="32"/>
          <w:szCs w:val="32"/>
        </w:rPr>
      </w:pPr>
      <w:r>
        <w:rPr>
          <w:rFonts w:hint="eastAsia" w:ascii="华文中宋" w:hAnsi="华文中宋" w:eastAsia="华文中宋" w:cs="Times New Roman"/>
          <w:b/>
          <w:bCs/>
          <w:sz w:val="32"/>
          <w:szCs w:val="32"/>
        </w:rPr>
        <w:t>教学副院长（签字）：</w:t>
      </w:r>
    </w:p>
    <w:p>
      <w:pPr>
        <w:keepNext/>
        <w:keepLines/>
        <w:spacing w:before="260" w:after="260" w:line="415" w:lineRule="auto"/>
        <w:ind w:firstLine="641" w:firstLineChars="200"/>
        <w:outlineLvl w:val="1"/>
        <w:rPr>
          <w:rFonts w:ascii="华文中宋" w:hAnsi="华文中宋" w:eastAsia="华文中宋" w:cs="Times New Roman"/>
          <w:b/>
          <w:bCs/>
          <w:sz w:val="32"/>
          <w:szCs w:val="32"/>
        </w:rPr>
      </w:pPr>
      <w:r>
        <w:rPr>
          <w:rFonts w:hint="eastAsia" w:ascii="华文中宋" w:hAnsi="华文中宋" w:eastAsia="华文中宋" w:cs="Times New Roman"/>
          <w:b/>
          <w:bCs/>
          <w:sz w:val="32"/>
          <w:szCs w:val="32"/>
        </w:rPr>
        <w:t>提交日期：</w:t>
      </w:r>
    </w:p>
    <w:p>
      <w:pPr>
        <w:widowControl/>
        <w:jc w:val="left"/>
        <w:rPr>
          <w:rFonts w:ascii="等线" w:hAnsi="等线" w:eastAsia="等线" w:cs="Times New Roman"/>
        </w:rPr>
      </w:pPr>
      <w:r>
        <w:rPr>
          <w:rFonts w:ascii="等线" w:hAnsi="等线" w:eastAsia="等线" w:cs="Times New Roman"/>
        </w:rPr>
        <w:br w:type="page"/>
      </w:r>
    </w:p>
    <w:p>
      <w:pPr>
        <w:jc w:val="center"/>
        <w:rPr>
          <w:rFonts w:ascii="黑体" w:hAnsi="黑体" w:eastAsia="黑体" w:cs="黑体"/>
          <w:b/>
          <w:bCs/>
          <w:sz w:val="32"/>
          <w:szCs w:val="32"/>
        </w:rPr>
      </w:pPr>
      <w:r>
        <w:rPr>
          <w:rFonts w:hint="eastAsia" w:ascii="黑体" w:hAnsi="黑体" w:eastAsia="黑体" w:cs="黑体"/>
          <w:b/>
          <w:bCs/>
          <w:sz w:val="32"/>
          <w:szCs w:val="32"/>
        </w:rPr>
        <w:t>撰 写 说 明</w:t>
      </w:r>
    </w:p>
    <w:p>
      <w:pPr>
        <w:rPr>
          <w:rFonts w:ascii="等线" w:hAnsi="等线" w:eastAsia="等线" w:cs="Times New Roman"/>
        </w:rPr>
      </w:pPr>
    </w:p>
    <w:p>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1.学院应严格按照模板要求及相关释义撰写自评报告，模板中所列内容是学院自评报告的基本要求，《自评报告》原则上应覆盖全部指标但可不限于模板中内容。</w:t>
      </w:r>
    </w:p>
    <w:p>
      <w:pPr>
        <w:spacing w:line="360" w:lineRule="auto"/>
        <w:ind w:firstLine="560" w:firstLineChars="200"/>
        <w:rPr>
          <w:rFonts w:ascii="宋体" w:hAnsi="宋体" w:eastAsia="宋体" w:cs="仿宋"/>
          <w:sz w:val="28"/>
          <w:szCs w:val="28"/>
        </w:rPr>
      </w:pPr>
      <w:r>
        <w:rPr>
          <w:rFonts w:ascii="宋体" w:hAnsi="宋体" w:eastAsia="宋体" w:cs="仿宋"/>
          <w:sz w:val="28"/>
          <w:szCs w:val="28"/>
        </w:rPr>
        <w:t>2</w:t>
      </w:r>
      <w:r>
        <w:rPr>
          <w:rFonts w:hint="eastAsia" w:ascii="宋体" w:hAnsi="宋体" w:eastAsia="宋体" w:cs="仿宋"/>
          <w:sz w:val="28"/>
          <w:szCs w:val="28"/>
        </w:rPr>
        <w:t>.《自评报告》总字数控制在</w:t>
      </w:r>
      <w:r>
        <w:rPr>
          <w:rFonts w:ascii="宋体" w:hAnsi="宋体" w:eastAsia="宋体" w:cs="仿宋"/>
          <w:sz w:val="28"/>
          <w:szCs w:val="28"/>
        </w:rPr>
        <w:t>4</w:t>
      </w:r>
      <w:r>
        <w:rPr>
          <w:rFonts w:hint="eastAsia" w:ascii="宋体" w:hAnsi="宋体" w:eastAsia="宋体" w:cs="仿宋"/>
          <w:sz w:val="28"/>
          <w:szCs w:val="28"/>
        </w:rPr>
        <w:t>万字以内(不含附录)，各部分字数要求已在模板中标注；存在的问题、原因分析以及改进措施不少于自评结果部分的三分之一。</w:t>
      </w:r>
    </w:p>
    <w:p>
      <w:pPr>
        <w:spacing w:line="360" w:lineRule="auto"/>
        <w:ind w:firstLine="560" w:firstLineChars="200"/>
        <w:rPr>
          <w:rFonts w:ascii="宋体" w:hAnsi="宋体" w:eastAsia="宋体" w:cs="仿宋"/>
          <w:sz w:val="28"/>
          <w:szCs w:val="28"/>
        </w:rPr>
      </w:pPr>
      <w:r>
        <w:rPr>
          <w:rFonts w:ascii="宋体" w:hAnsi="宋体" w:eastAsia="宋体" w:cs="仿宋"/>
          <w:sz w:val="28"/>
          <w:szCs w:val="28"/>
        </w:rPr>
        <w:t>3</w:t>
      </w:r>
      <w:r>
        <w:rPr>
          <w:rFonts w:hint="eastAsia" w:ascii="宋体" w:hAnsi="宋体" w:eastAsia="宋体" w:cs="仿宋"/>
          <w:sz w:val="28"/>
          <w:szCs w:val="28"/>
        </w:rPr>
        <w:t>.支撑材料目录应作为《自评报告》附录列出，每个二级审核指标自评结果后面应分别列出相关支撑材料索引。</w:t>
      </w:r>
    </w:p>
    <w:p>
      <w:pPr>
        <w:widowControl/>
        <w:jc w:val="left"/>
        <w:rPr>
          <w:rFonts w:ascii="仿宋" w:hAnsi="仿宋" w:eastAsia="仿宋" w:cs="仿宋"/>
        </w:rPr>
      </w:pPr>
      <w:r>
        <w:rPr>
          <w:rFonts w:ascii="仿宋" w:hAnsi="仿宋" w:eastAsia="仿宋" w:cs="仿宋"/>
        </w:rPr>
        <w:br w:type="page"/>
      </w:r>
    </w:p>
    <w:p>
      <w:pPr>
        <w:keepNext/>
        <w:keepLines/>
        <w:spacing w:before="260" w:after="260" w:line="416" w:lineRule="auto"/>
        <w:jc w:val="center"/>
        <w:outlineLvl w:val="1"/>
        <w:rPr>
          <w:rFonts w:ascii="黑体" w:hAnsi="黑体" w:eastAsia="黑体" w:cs="黑体"/>
          <w:b/>
          <w:bCs/>
          <w:sz w:val="30"/>
          <w:szCs w:val="30"/>
        </w:rPr>
      </w:pPr>
      <w:r>
        <w:rPr>
          <w:rFonts w:hint="eastAsia" w:ascii="黑体" w:hAnsi="黑体" w:eastAsia="黑体" w:cs="黑体"/>
          <w:b/>
          <w:bCs/>
          <w:sz w:val="30"/>
          <w:szCs w:val="30"/>
        </w:rPr>
        <w:t>第一部分</w:t>
      </w:r>
      <w:r>
        <w:rPr>
          <w:rFonts w:ascii="黑体" w:hAnsi="黑体" w:eastAsia="黑体" w:cs="黑体"/>
          <w:b/>
          <w:bCs/>
          <w:sz w:val="30"/>
          <w:szCs w:val="30"/>
        </w:rPr>
        <w:t xml:space="preserve"> </w:t>
      </w:r>
      <w:r>
        <w:rPr>
          <w:rFonts w:hint="eastAsia" w:ascii="黑体" w:hAnsi="黑体" w:eastAsia="黑体" w:cs="黑体"/>
          <w:b/>
          <w:bCs/>
          <w:sz w:val="30"/>
          <w:szCs w:val="30"/>
        </w:rPr>
        <w:t>学院简介(不超过</w:t>
      </w:r>
      <w:r>
        <w:rPr>
          <w:rFonts w:ascii="黑体" w:hAnsi="黑体" w:eastAsia="黑体" w:cs="黑体"/>
          <w:b/>
          <w:bCs/>
          <w:sz w:val="30"/>
          <w:szCs w:val="30"/>
        </w:rPr>
        <w:t>2000</w:t>
      </w:r>
      <w:r>
        <w:rPr>
          <w:rFonts w:hint="eastAsia" w:ascii="黑体" w:hAnsi="黑体" w:eastAsia="黑体" w:cs="黑体"/>
          <w:b/>
          <w:bCs/>
          <w:sz w:val="30"/>
          <w:szCs w:val="30"/>
        </w:rPr>
        <w:t>字)</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1.简要介绍学院的历史沿革，学科布局，本科专业数量与结构，各类全日制在校生规模，专任教师规模，基本办学条件等。</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2.学院近年来本科教学事业发展所取得的显著成就与荣誉。</w:t>
      </w:r>
    </w:p>
    <w:p>
      <w:pPr>
        <w:rPr>
          <w:rFonts w:ascii="仿宋" w:hAnsi="仿宋" w:eastAsia="仿宋" w:cs="仿宋"/>
        </w:rPr>
      </w:pPr>
    </w:p>
    <w:p>
      <w:pPr>
        <w:keepNext/>
        <w:keepLines/>
        <w:spacing w:before="260" w:after="260" w:line="416" w:lineRule="auto"/>
        <w:jc w:val="center"/>
        <w:outlineLvl w:val="1"/>
        <w:rPr>
          <w:rFonts w:ascii="黑体" w:hAnsi="黑体" w:eastAsia="黑体" w:cs="黑体"/>
          <w:b/>
          <w:bCs/>
          <w:sz w:val="30"/>
          <w:szCs w:val="30"/>
        </w:rPr>
      </w:pPr>
      <w:r>
        <w:rPr>
          <w:rFonts w:hint="eastAsia" w:ascii="黑体" w:hAnsi="黑体" w:eastAsia="黑体" w:cs="黑体"/>
          <w:b/>
          <w:bCs/>
          <w:sz w:val="30"/>
          <w:szCs w:val="30"/>
        </w:rPr>
        <w:t>第二部分</w:t>
      </w:r>
      <w:r>
        <w:rPr>
          <w:rFonts w:ascii="黑体" w:hAnsi="黑体" w:eastAsia="黑体" w:cs="黑体"/>
          <w:b/>
          <w:bCs/>
          <w:sz w:val="30"/>
          <w:szCs w:val="30"/>
        </w:rPr>
        <w:t xml:space="preserve"> </w:t>
      </w:r>
      <w:r>
        <w:rPr>
          <w:rFonts w:hint="eastAsia" w:ascii="黑体" w:hAnsi="黑体" w:eastAsia="黑体" w:cs="黑体"/>
          <w:b/>
          <w:bCs/>
          <w:sz w:val="30"/>
          <w:szCs w:val="30"/>
        </w:rPr>
        <w:t>学院自评工作开展情况(不超过</w:t>
      </w:r>
      <w:r>
        <w:rPr>
          <w:rFonts w:ascii="黑体" w:hAnsi="黑体" w:eastAsia="黑体" w:cs="黑体"/>
          <w:b/>
          <w:bCs/>
          <w:sz w:val="30"/>
          <w:szCs w:val="30"/>
        </w:rPr>
        <w:t>2000</w:t>
      </w:r>
      <w:r>
        <w:rPr>
          <w:rFonts w:hint="eastAsia" w:ascii="黑体" w:hAnsi="黑体" w:eastAsia="黑体" w:cs="黑体"/>
          <w:b/>
          <w:bCs/>
          <w:sz w:val="30"/>
          <w:szCs w:val="30"/>
        </w:rPr>
        <w:t>字)</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简要说明学院依据《普通高等学校本科教育教学审核评估实施方案(2021-2025年)》《北京交通大学新一轮本科教育教学审核评估学院自评工作实施方案》开展自评自建工作情况，包括组织机构、宣传发动、实施措施、经验以及评建工作取得的成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2.需附自查问题清单、支撑材料索引、自评自建工作方案、自评自建过程记录等。</w:t>
      </w:r>
    </w:p>
    <w:p>
      <w:pPr>
        <w:rPr>
          <w:rFonts w:ascii="等线" w:hAnsi="等线" w:eastAsia="等线" w:cs="Times New Roman"/>
        </w:rPr>
      </w:pPr>
    </w:p>
    <w:p>
      <w:pPr>
        <w:keepNext/>
        <w:keepLines/>
        <w:spacing w:before="260" w:after="260" w:line="416" w:lineRule="auto"/>
        <w:jc w:val="center"/>
        <w:outlineLvl w:val="1"/>
        <w:rPr>
          <w:rFonts w:ascii="黑体" w:hAnsi="黑体" w:eastAsia="黑体" w:cs="黑体"/>
          <w:b/>
          <w:bCs/>
          <w:sz w:val="30"/>
          <w:szCs w:val="30"/>
        </w:rPr>
      </w:pPr>
      <w:r>
        <w:rPr>
          <w:rFonts w:hint="eastAsia" w:ascii="黑体" w:hAnsi="黑体" w:eastAsia="黑体" w:cs="黑体"/>
          <w:b/>
          <w:bCs/>
          <w:sz w:val="30"/>
          <w:szCs w:val="30"/>
        </w:rPr>
        <w:t>第三部分</w:t>
      </w:r>
      <w:r>
        <w:rPr>
          <w:rFonts w:ascii="黑体" w:hAnsi="黑体" w:eastAsia="黑体" w:cs="黑体"/>
          <w:b/>
          <w:bCs/>
          <w:sz w:val="30"/>
          <w:szCs w:val="30"/>
        </w:rPr>
        <w:t xml:space="preserve"> </w:t>
      </w:r>
      <w:r>
        <w:rPr>
          <w:rFonts w:hint="eastAsia" w:ascii="黑体" w:hAnsi="黑体" w:eastAsia="黑体" w:cs="黑体"/>
          <w:b/>
          <w:bCs/>
          <w:sz w:val="30"/>
          <w:szCs w:val="30"/>
        </w:rPr>
        <w:t>学院自评结果(不超过</w:t>
      </w:r>
      <w:r>
        <w:rPr>
          <w:rFonts w:ascii="黑体" w:hAnsi="黑体" w:eastAsia="黑体" w:cs="黑体"/>
          <w:b/>
          <w:bCs/>
          <w:sz w:val="30"/>
          <w:szCs w:val="30"/>
        </w:rPr>
        <w:t>36000</w:t>
      </w:r>
      <w:r>
        <w:rPr>
          <w:rFonts w:hint="eastAsia" w:ascii="黑体" w:hAnsi="黑体" w:eastAsia="黑体" w:cs="黑体"/>
          <w:b/>
          <w:bCs/>
          <w:sz w:val="30"/>
          <w:szCs w:val="30"/>
        </w:rPr>
        <w:t>字 )</w:t>
      </w:r>
    </w:p>
    <w:p>
      <w:pPr>
        <w:adjustRightInd w:val="0"/>
        <w:snapToGrid w:val="0"/>
        <w:spacing w:line="360" w:lineRule="auto"/>
        <w:ind w:firstLine="562" w:firstLineChars="200"/>
        <w:outlineLvl w:val="2"/>
        <w:rPr>
          <w:rFonts w:ascii="黑体" w:hAnsi="黑体" w:eastAsia="黑体" w:cs="Times New Roman"/>
          <w:b/>
          <w:bCs/>
          <w:sz w:val="28"/>
          <w:szCs w:val="28"/>
        </w:rPr>
      </w:pPr>
      <w:r>
        <w:rPr>
          <w:rFonts w:hint="eastAsia" w:ascii="黑体" w:hAnsi="黑体" w:eastAsia="黑体" w:cs="Times New Roman"/>
          <w:b/>
          <w:bCs/>
          <w:sz w:val="28"/>
          <w:szCs w:val="28"/>
        </w:rPr>
        <w:t>1.党的领导</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1.1 党的全面领导和社会主义办学方向</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重点阐述: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学院坚持以习近平新时代中国特色社会主义思想为指导，坚持党的全面领导，全面贯彻党的教育方针，围绕国家战略需求培养担当民族复兴大任的时代新人，所采取的举措及取得的成效，特别是党的全面领导对学院高质量发展的引领作用。②学院是如何坚持社会主义办学方向、贯彻落实立德树人根本任务的，是否把立德树人成效作为检验学院工作的根本标准及如何体现，所采取的具体举措及取得成效。</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支撑材料:</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学院在加强党的领导方面出台的制度文件；贯彻落实立德树人根本任务方面成果，典型案例；相关会议或宣传报道材料等。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1.2 存在的问题、原因分析及下一步整改举措</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重点阐述: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对标新时代国家对高等教育的要求，分析学院在坚持党的领导和社会主义办学方向上存在的主要问题是什么、问题表现是什么、产生问题的根源是什么以及下一步如何改。</w:t>
      </w: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ind w:firstLine="562" w:firstLineChars="200"/>
        <w:outlineLvl w:val="2"/>
        <w:rPr>
          <w:rFonts w:ascii="黑体" w:hAnsi="黑体" w:eastAsia="黑体" w:cs="Times New Roman"/>
          <w:b/>
          <w:bCs/>
          <w:sz w:val="28"/>
          <w:szCs w:val="28"/>
        </w:rPr>
      </w:pPr>
      <w:r>
        <w:rPr>
          <w:rFonts w:hint="eastAsia" w:ascii="黑体" w:hAnsi="黑体" w:eastAsia="黑体" w:cs="Times New Roman"/>
          <w:b/>
          <w:bCs/>
          <w:sz w:val="28"/>
          <w:szCs w:val="28"/>
        </w:rPr>
        <w:t>2.质量保障能力</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2.1 质量标准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重点阐述: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学院依据《普通高等学校本科专业类教学质量国家标准》、学校本科教学质量标准及有关行业标准推进一流质量标准建设情况。②学院各主要教学环节的质量标准是什么？学院质量标准落实方面的做法及成效。③质量管理制度文件的制订及执行情况。④学院加强考风建设，出台的加强考试管理、严肃考试纪律的制度文件及执行情况。⑤学院加强过程性考核与结果性考核有机结合，能力与知识考核并重的多元化学业考核评价体系的情况。</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支撑材料:</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学院质量标准体系有关文件</w:t>
      </w:r>
      <w:r>
        <w:rPr>
          <w:rFonts w:hint="eastAsia" w:ascii="仿宋" w:hAnsi="仿宋" w:eastAsia="仿宋" w:cs="仿宋"/>
          <w:bCs/>
          <w:sz w:val="28"/>
          <w:szCs w:val="28"/>
        </w:rPr>
        <w:t>；</w:t>
      </w:r>
      <w:r>
        <w:rPr>
          <w:rFonts w:hint="eastAsia" w:ascii="仿宋" w:hAnsi="仿宋" w:eastAsia="仿宋" w:cs="仿宋"/>
          <w:sz w:val="28"/>
          <w:szCs w:val="28"/>
        </w:rPr>
        <w:t>质量管理制度文件</w:t>
      </w:r>
      <w:r>
        <w:rPr>
          <w:rFonts w:hint="eastAsia" w:ascii="仿宋" w:hAnsi="仿宋" w:eastAsia="仿宋" w:cs="仿宋"/>
          <w:bCs/>
          <w:sz w:val="28"/>
          <w:szCs w:val="28"/>
        </w:rPr>
        <w:t>；</w:t>
      </w:r>
      <w:r>
        <w:rPr>
          <w:rFonts w:hint="eastAsia" w:ascii="仿宋" w:hAnsi="仿宋" w:eastAsia="仿宋" w:cs="仿宋"/>
          <w:sz w:val="28"/>
          <w:szCs w:val="28"/>
        </w:rPr>
        <w:t>质量标准建设与落实方面的做法及成效等相关材料</w:t>
      </w:r>
      <w:r>
        <w:rPr>
          <w:rFonts w:hint="eastAsia" w:ascii="仿宋" w:hAnsi="仿宋" w:eastAsia="仿宋" w:cs="仿宋"/>
          <w:bCs/>
          <w:sz w:val="28"/>
          <w:szCs w:val="28"/>
        </w:rPr>
        <w:t>；</w:t>
      </w:r>
      <w:r>
        <w:rPr>
          <w:rFonts w:hint="eastAsia" w:ascii="仿宋" w:hAnsi="仿宋" w:eastAsia="仿宋" w:cs="仿宋"/>
          <w:sz w:val="28"/>
          <w:szCs w:val="28"/>
        </w:rPr>
        <w:t>学院严格考试管理、端正考纪考风方面的材料等。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2.2 质保机制</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 xml:space="preserve">    重点阐述:</w:t>
      </w:r>
      <w:r>
        <w:rPr>
          <w:rFonts w:ascii="Calibri" w:hAnsi="Calibri" w:eastAsia="仿宋" w:cs="Calibri"/>
          <w:sz w:val="28"/>
          <w:szCs w:val="28"/>
        </w:rPr>
        <w:t>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学院质量监控队伍建设情况，包括数量、结构和人员素质等情况，可用图表分析呈现详细的队伍建设情况。②学院质保机制(质量监测与评价机制、评价结果反馈机制、持续改进机制)的建立情况；学院质保机制运行方面的做法及成效。③学院内部质量监测与评估机制建设及运行情况，包括定期开展的评教、评学以及参加教育行政部门、社会第三方组织的外部教育教学评估情况，包括院校评估和专业认证等情况。</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支撑材料: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学院质量监控队伍建设相关文件、学院质量保障体系及其运行的相关材料等；学院开展自评估，包括评教、评学以及学院评估、专业评估、专业认证、第三方评估、课程评估等相关资料。</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2.3 质量文化</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重点阐述: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学院在质量文化建设方面的举措及成效。②将质量意识、质量标准、质量评价、质量管理落实到教育教学各环节，将质量要求内化为全院师生的共同价值追求和行为自觉方面的举措及成效。③学院各专业培养目标、毕业要求、课程教学大纲公开的途径及面向师生宣贯的成效。</w:t>
      </w:r>
    </w:p>
    <w:p>
      <w:pPr>
        <w:adjustRightInd w:val="0"/>
        <w:snapToGrid w:val="0"/>
        <w:spacing w:line="360" w:lineRule="auto"/>
        <w:ind w:left="560"/>
        <w:rPr>
          <w:rFonts w:ascii="仿宋" w:hAnsi="仿宋" w:eastAsia="仿宋" w:cs="仿宋"/>
          <w:b/>
          <w:bCs/>
          <w:sz w:val="28"/>
          <w:szCs w:val="28"/>
        </w:rPr>
      </w:pPr>
      <w:r>
        <w:rPr>
          <w:rFonts w:hint="eastAsia" w:ascii="仿宋" w:hAnsi="仿宋" w:eastAsia="仿宋" w:cs="仿宋"/>
          <w:b/>
          <w:bCs/>
          <w:sz w:val="28"/>
          <w:szCs w:val="28"/>
        </w:rPr>
        <w:t>支撑材料: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质量文化建设方面的制度文件；质量文化建设成效成果展示、宣传相关材料；各专业培养目标、毕业要求、课程教学大纲公开的载体、过程记录及体现宣贯成效的证明材料等。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2.4 质保效果</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重点阐述: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学院人才培养目标达成度是怎么评价的？专业人才培养目标的达成评价方法、评价重点以及评价的结论。毕业生质量持续跟踪评价机制建立及实施情况，要通过对用人单位以及相关各方的调查情况、跟踪毕业生的职业发展情况、了解毕业生就业岗位状况及其适应岗位的情况来体现；近三年毕业生质量持续跟踪评价结果。②学院社会需求适应度是怎么评价的?要通过举证学院人才培养目标与国家、社会及学生的要求与期望相符合，生源质量持续向好，毕业生面向国家和经济社会发展需要、面向所服务的区域和行业企业就业，就业质量和职业发展良好来体现。如学院近三年本科生生源情况分析；学院近三年本科毕业生的就业情况、就业质量分析。③学院师资和条件支撑度是怎么评价的?要通过举证教师数量、结构、教学科研水平产学研用能力、国际视野、教学投入能够很好满足教学需要，以及教学条件，包括教室、网络、实验室及其教学仪器设备、实践基地等能够很好满足教学需要情况。④学院质保体系运行有效度是怎么评价的?学院人才培养各要素方面规章制度的有效运行情况；要通过举证说明学院已经建立了完善的教学质量保障体系，明确人才培养各环节的质量标准，对各环节教学质量实施了有效监控，针对发现的质量问题提出质量改进建议，制定改进方案和整改措施，并对改进措施的有效性适时评价来体现；可分析比较学院近三年人才培养核心数据的变化态势、判断人才培养工作持续改进、持续提升的效果。⑤学生和用人单位满意度是怎么评价的?要通过召开学生、教师和用人单位座谈会或满意度问卷调查，了解师生对教学、管理、服务的意见和建议，了解社会用人单位的需求和对毕业生的评价，了解毕业生职业满意度和工作成就感、毕业生社会满意度等来体现。</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支撑材料:</w:t>
      </w:r>
    </w:p>
    <w:p>
      <w:pPr>
        <w:tabs>
          <w:tab w:val="left" w:pos="993"/>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对“五个度”的评价方法、评价过程及评价结果记录(如座谈会、问卷调查)等相关材料；学院对毕业生质量持续跟踪评价的制度文件，对毕业生职业发展、用人单位以及各利益相关方的跟踪调查资料等；学院近三年本科生生源质量分析报告，学院近三年本科毕业生就业质量报告；学院人才培养各环节监控、检查资料，近三年人才培养核心数据统计资料；学院定期开展的在校生和毕业生座谈会、教师座谈会、用人单位座谈会和问卷调查材料，学生、教师对教学、管理、服务提出的意见和建议，社会用人单位对毕业生的评价及其对学院专业设置、培养目标、培养规格、培养方案、教学方法改进提出的意见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2.5 存在的问题、原因分析及下一步整改举措</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重点阐述: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对标国内外一流大学相关学科专业建设所必备的质量保障能力要求，分析学院还存在哪些问题、问题表现是什么、产生问题的根源是什么以及下一步如何改。</w:t>
      </w:r>
    </w:p>
    <w:p>
      <w:pPr>
        <w:rPr>
          <w:rFonts w:ascii="仿宋" w:hAnsi="仿宋" w:eastAsia="仿宋" w:cs="仿宋"/>
        </w:rPr>
      </w:pPr>
    </w:p>
    <w:p>
      <w:pPr>
        <w:adjustRightInd w:val="0"/>
        <w:snapToGrid w:val="0"/>
        <w:spacing w:line="360" w:lineRule="auto"/>
        <w:ind w:firstLine="562" w:firstLineChars="200"/>
        <w:outlineLvl w:val="2"/>
        <w:rPr>
          <w:rFonts w:ascii="黑体" w:hAnsi="黑体" w:eastAsia="黑体" w:cs="Times New Roman"/>
          <w:b/>
          <w:bCs/>
          <w:sz w:val="28"/>
          <w:szCs w:val="28"/>
        </w:rPr>
      </w:pPr>
      <w:r>
        <w:rPr>
          <w:rFonts w:hint="eastAsia" w:ascii="黑体" w:hAnsi="黑体" w:eastAsia="黑体" w:cs="Times New Roman"/>
          <w:b/>
          <w:bCs/>
          <w:sz w:val="28"/>
          <w:szCs w:val="28"/>
        </w:rPr>
        <w:t>3.教育教学水平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3.1 思政教育</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重点阐述: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学院在落实意识形态工作责任制方面制订了哪些制度?贯彻落实《教育部等八部门关于加快构建高校思想政治工作体系的意见》（教思政〔2020〕1号)及学校相关文件精神，构建思想政治教育工作体系情况如何?学院如何开展“三全育人”工作?成效如何?②学院在思想政治理论课教师队伍和思政课程建设方面的做法及成效;按要求开设“习近平总书记关于教育的重要论述研究”课程、落实习近平总书记在学校思想政治理论课教师座谈会上的指示、《新时代高等学校思想政治理论课教师队伍建设规定》(教育部令第46号)情况。③学院贯彻落实教育部《高等学校课程思政建设指导纲要》(教高〔2020〕3号)及学校课程思政建设相关文件精神，在课程思政示范课程、教学名师和团队的建设方面的举措及成效(包括经费投入、教师进修培养、激励机制等)。④学院在师生思想政治、道德品质等方面负面问题的预警机制、应对处置措施及实施情况。</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支撑材料:</w:t>
      </w:r>
    </w:p>
    <w:p>
      <w:pPr>
        <w:tabs>
          <w:tab w:val="left" w:pos="993"/>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在落实意识形态工作责任制方面制订的制度文件，思政教育方面的制度文件；思想政治理论课教师队伍和思政课程建设方面统计分析资料；课程思政的典型案例，课程思政示范课程建设等资料；师生在思想政治、道德品质等方面出现负面问题情况应对及处理情况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3.2 本科地位</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重点阐述: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学院在坚持本科人才培养核心地位、推进“四个回归”方面的举措及实施成效;学院在引导学生求真学问，引导教师热爱教学、倾心教学、研究教学，潜心教书育人方面所采取的举措及取得的成效；学院主要领导亲自抓本科教育的情况；本科教育在学院各项工作中核心地位的体现。②学院在教师引进、职称评聘、绩效考核等制度设计和实际运行中突出本科教育情况，成效如何?③学院把本科教育教学工作放在优先发展地位的体现，包括经费安排、资源配置、教师引进、职称评聘、绩效考核等方面的机制体制建设。</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支撑材料:</w:t>
      </w:r>
    </w:p>
    <w:p>
      <w:pPr>
        <w:tabs>
          <w:tab w:val="left" w:pos="993"/>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在落实本科地位方面制订出台的制度文件；党委会专题研究本科教育教学工作的会议记录、各级领导听课记录；学院教师引进、职称评聘、绩效考核等制度文件；近三年学院在教学方面的经费投入情况，基础课教师职称评聘情况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3.3 教师队伍</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重点阐述:</w:t>
      </w:r>
      <w:bookmarkStart w:id="0" w:name="_Hlk127871042"/>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w:t>
      </w:r>
      <w:bookmarkEnd w:id="0"/>
      <w:r>
        <w:rPr>
          <w:rFonts w:hint="eastAsia" w:ascii="仿宋" w:hAnsi="仿宋" w:eastAsia="仿宋" w:cs="仿宋"/>
          <w:sz w:val="28"/>
          <w:szCs w:val="28"/>
        </w:rPr>
        <w:t>学院贯彻落实教育部等七部门《关于加强和改进新时代师德师风建设的意见》(教师〔2019〕10号)精神，把师德师风作为评价教师第一标准、将师德考核贯穿于教育教学全过程等方面的举措及成效；学院在完善教师评价标准中，破除“五唯”方面的做法。②学院促进教师争做“四有”好老师、四个“引路人”,自觉遵守《新时代高校教师职业行为十项准则》等方面的制度、举措与成效。③学院专任教师队伍的专业水平和教学能力，说明能否很好地胜任教育教学工作。阐述教师的科研能力和水平，以及满足学生创新意识和创新能力培养需要的情况；阐述教师的产学研用能力和水平，以及满足学生实践动手能力培养需要的情况。④学院在推动高水平教师投入本科教育教学、推动教授给本科生上课方面所釆取的激励与约束机制及实施效果；广大教师，特别是教授、副教授开展教学研究、参与教学改革与建设，包括教学改革、专业建设、课程建设和教材建设等实际情况。⑤学院提升教师育人能力和水平的举措及成效，学院制定教师培训与职业发展规划、培训工作计划及执行情况；是否按要求把习近平总书记关于教育的重要论述作为核心培训课程、把《习近平总书记教育重要论述讲义》作为核心培训教材?广大教师是否学深悟透，并能自觉运用；学院重视并加强思政与党务工作队伍建设所采取的举措与成效。⑥学院重视教师教学发展与培训，在加强教师教学发展分中心、基层教学组织等建设的措施与成效。⑦学院在提升教师教学能力、信息技术应用能力方面制定的政策、实施的措施及取得的成效。⑧学院教师分类管理和分类评价办法，分类分层次分学科设置的评价内容和评价方式。阐述双师双能型教师队伍和实践教学队伍建设与管理。⑨学院鼓励教师赴国（境）外交流、访学、参加国际会议、合作研究的政策、实施情况和效果。</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支撑材料: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师德师风建设制度文件汇编、师德师风先进典型案例、加强师德师风建设宣传材料；学院在加强教师队伍及基层教学组织建设方面制定出台的制度文件；学院生师比、具有博士学位教师占专任教师比例、主讲本科课程教授占教授总数的比例、教授主讲本科课程人均学时数等核心数据的支撑材料；学院制订的提升教师教学能力方面的制度文件，开展各类教师教育教学培训、教学竞赛活动及提升教师教学能力的措施，近三年来教师培训经费投入情况等；学院出台的鼓励教师投入教学的制度文件，学院教师近三年开展教学研究、教学改革方面的统计材料、原始申报材料等；学院加强师资队伍建设制度文件，学院教师队伍建设及发展规划；学院教师教学发展分中心、基层教学组织设置情况；学院近三年教师赴国（境）外交流、访学、参加国际会议、合作研究情况等材料。</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3.4 学生发展与支持</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重点阐述: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学院采取哪些措施面向农村和贫困地区、民族地区等招生?近三年面向农村和贫困地区、民族地区等招生情况统计；针对这些学生因材施教的举措与成效。②学院在加强学生理想信念和提高品德修养方面的举措及成效；广大学生的理想信念、道德品质和行为习惯情况；学院深入学习贯彻习近平总书记在北京大学师生座谈会上的重要讲话精神，教育引导学生为国家发展，为追求真理而勤奋学习、奋发图强情况；学院加强学风建设的举措及成效。③学院协同推进学生德智体美劳“五育”的情况；学院实施“五育”过程中重视学生学习体验、自我发展能力和职业发展能力的具体措施及成效。④学院如何重视学生的理论知识学习和综合能力培养，以及学生的学业成绩及综合素质表现情况。阐述学生的基础理论、知识面和创新能力情况；学生综合应用知识能力、实践动手能力和独立解决生产、管理和服务中实际问题的能力情况。⑤学院实践教学体系的建设思路与主要内容，推进实践教学改革措施及实施效果。阐述学院与科研院所或企业、行业单位合作共赢、开放共享的实践育人机制建设，共建科研实践、实习实训基地等情况。阐述学院对毕业论文（设计）选题、开题、答辩等环节的全过程管理要求，对形式、内容、难度的严格监控情况及实际完成质量情况；毕业论文（设计）选题来自教师专业实践和科研课题情况。⑥学院贯彻落实《中共教育部党组关于加强和改进高校领导干部深入基层联系学生工作的通知》（教党函〔2019〕34号）及学校相关文件要求，推动领导干部和教师参与学生工作的举措及效果，包括参与面、参与程度和参与效果。⑦学院的学生指导服务体系建设情况，包括学业指导、职业生涯规划指导、就业指导和大学生心理健康咨询的开展情况；对家庭经济困难学生的资助情况等。⑧列出学院近五年专业领域的十个优秀毕业生相关信息，简要归纳总结可供推广的培养经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支撑材料:</w:t>
      </w:r>
    </w:p>
    <w:p>
      <w:pPr>
        <w:tabs>
          <w:tab w:val="left" w:pos="709"/>
          <w:tab w:val="left" w:pos="993"/>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制订的加强学风建设的制度文件，所开展的教育引导学生爱国、励志、求真、力行等活动的有关材料等；学院加强学生综合素质培养方面的有关文件，学生参加社团活动、校园文化、社会实践、志愿服务等活动资料；学院制订的实践教学方面的制度文件，学院设计性、综合性实验开设与实验室开放情况统计，近两年毕业论文（设计）选题一览表，包括选题来源情况统计分析等；学院生源质量分析报告，学院就业质量分析报告，及支持核心数据的原始材料；学院制订的学生发展支持服务方面的制度文件等；优秀毕业生的有关材料。</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3.5 卓越教学</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重点阐述: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学院专业设置、专业建设与国家和区域经济社会发展需要的契合情况。专业设置与专业建设应与国家重大发展战略及社会对创新型人才需求相契合；学院主辅修和双学士学位培养制度建设、学生数量等情况，复合型人才培养的成效。②学院专业人才培养目标与办学定位、经济社会发展需要间的契合度，人才培养方案中体现德智体美劳全面发展的要求情况；学院专业培养方案是否符合普通高等学校本科专业类国家标准（基本标准）要求、是否融入行业标准（特色标准）、是否体现专业定位（个性化标准）；培养方案是否体现了产出导向理念；专业培养方案是否突出了学院人才培养目标特色，突出强化学生的理论基础，将教学与科研紧密结合，培养学生的创新意识和创新能力。③学院“六卓越一拔尖”人才培养计划，新工科、新文科和一流专业建设方案和推动举措，以及已经取得的成效；学院围绕“培育高水平教学成果”开展了哪些教研教改项目，项目实施情况和取得的进展。④学院探索智能教育新形态，推动课程教学从“以教为中心”向“以学为中心”的转变，推进信息技术与教学过程的融合，建设具有高阶性、创新性和挑战度的线下、线上、线上线下混合、虚拟仿真和社会实践“金课”的举措与取得的成效。⑤学院课程体系整体设计的思路，公共课、专业基础课、专业课等各类课程结构的优化情况，以及课程建设规划情况；学院推动优质课程资源开发建设和开放共享情况，包括教材、课程资源库、案例库以及网络资源、学科与科研资源等辅助教学资源建设等。⑥学院加强教材建设与管理工作所建立的工作机制、工作制度情况及实施成效，要说明教材审核选用标准和程序，重点要说明近几年教材选用工作中是否出现负面问题，学院是如何处理的；学院如何鼓励和支持高水平教师面向国家、行业领域需求，编写高水平教材。⑦学院促进学生个性化学习、开放式学习和泛在学习，建设适应“互联网+”课程教学需要的智能实验室建设情况及其使用效果。⑧学院推动学科资源、科研资源转化应用于本科教育教学的举措与效果；科研实验室、研究中心及平台等在本科人才培养中发挥的作用。⑨学院贯彻落实教育部《关于推动高校形成就业与招生计划人才培养联动机制的指导意见》(教高〔2017〕8号)所出台的相关制度、举措及实施效果。⑩学院主动服务国家对外开放战略，积极融入“一带一路”建设，推动国际交流与合作，与国(境)外高水平大学开展联合办学、联合培养，推荐优秀学生到国际组织任职、实习等情况，说明具体做法、采取的举措与取得的成效。</w:t>
      </w:r>
      <w:r>
        <w:rPr>
          <w:rFonts w:ascii="Cambria Math" w:hAnsi="Cambria Math" w:eastAsia="仿宋" w:cs="Cambria Math"/>
          <w:sz w:val="28"/>
          <w:szCs w:val="28"/>
        </w:rPr>
        <w:t>⑪</w:t>
      </w:r>
      <w:r>
        <w:rPr>
          <w:rFonts w:hint="eastAsia" w:ascii="仿宋" w:hAnsi="仿宋" w:eastAsia="仿宋" w:cs="仿宋"/>
          <w:sz w:val="28"/>
          <w:szCs w:val="28"/>
        </w:rPr>
        <w:t>学院吸引外国留学生来华学习的举措及来华留学生教育质量情况；吸收利用国（境）外优质教育资源（教材、网络课程、专业设计软件等）以及输出共享情况；学院鼓励学生赴国（境）外高校交流、访学，实习、竞赛、参加国际会议、开展合作研究的激励政策以及实施的实际效果。</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支撑材料:</w:t>
      </w:r>
    </w:p>
    <w:p>
      <w:pPr>
        <w:tabs>
          <w:tab w:val="left" w:pos="993"/>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制订出台的专业建设方面的制度文件，学院专业设置、布局情况统计分析；学院近三年辅修和双学士学位学生人数，学院专业发展规划、学院人才培养方案汇编；学院推进卓越人才培养出台的制度文件，学院一流专业、一流课程建设方案及典型材料，新工科、新文科建设成效的典型材料；学院课程建设、教材建设方面的建设规划和制度文件；学院教学资源建设与利用方面制订的制度文件、科研反哺教学方面的激励政策；学院“互联网+”教学资源建设、高水平教材建设、智能实验室建设及学科资源、科研成果转化方面的总结材料，获得国家级教学成果奖情况以及获奖项目在教学改革中的示范案例；教育部审批的中外合作办学机构或项目，引进国外优质资源情况；开展来华留学教育，招收学历教育国际学生情况，来华留学教育和管理质量通过质量认证情况；学院国际化发展战略规划或相关文件，学院激励教师、本科生开展国际合作交流方面的政策与措施等材料。</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3.6 就业与创新创业教育</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重点阐述: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学院将创新创业教育融入人才培养方案，面向全体学生所开展的因材施教、强化创新实践情况、推动举措与实施成效；学院构建创新创业教育工作体系情况，以及是否有效运行；创新创业教育平台建设情况，包括科研基地向大学生开放情况、大学生创新创业与社会需求对接平台等；学院创新创业的氛围情况，学生参与创新创业教育的积极性以及取得的成果。②学院高水平的教师、重要研究平台和重点项目支持本科生开展创新创业活动，为学生尽早参与和融入科研，早进课题、早进实验室、早进团队所提供的经费与条件，以高水平科学研究提高学生创新实践和创业能力情况、推动举措与实施成效。③学院开展大学生职业生涯规划教育方面的制度建设、实施做法及取得的成效。</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支撑材料:</w:t>
      </w:r>
    </w:p>
    <w:p>
      <w:pPr>
        <w:tabs>
          <w:tab w:val="left" w:pos="993"/>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在创新创业教育方面制定出台的制度文件，构建创新创业教育工作体系情况，以及是否有效运行；创新创业教育平台建设情况，包括科研基地向大学生开放情况、大学生创新创业与社会需求对接平台等；学院将创新创业教育融入人才培养方案，面向全体学生所开展的因材施教、强化创新实践情况、推动举措与实施成效；学院高水平教师指导本科生开展创新创业训练的有关材料，国家级大学生创新创业训练计划项目数、“互联网+”大学生创新创业大赛获奖项目、本科生参加国内外大赛获奖项目、本科生以第一作者/通讯作者在核心期刊发表的论文及获批国家发明专利等统计表；本科生创业典型材料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3.7 存在的问题、原因分析及下一步整改举措</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重点阐述: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标新时代国家对高水平一流大学本科人才培养要求，包括《教育部等八部门关于加快构建高校思想政治工作体系的意见》(教思政〔2020〕1号)精神、教育部等七部门《关于加强和改进新时代师德师风建设的意见》(教师〔2019〕 10号)精神、《教育部关于推动高校形成就业与招生计划人才培养联动机制的指导意见》(教高〔2017〕8号)等及学校关于推动拔尖人才培养、一流教学内涵建设的有关文件，分析学院在教育教学上还存在哪些问题、问题表现是什么、产生问题的根源是什么以及下一步如何改。</w:t>
      </w:r>
    </w:p>
    <w:p>
      <w:pPr>
        <w:ind w:firstLine="560" w:firstLineChars="200"/>
        <w:rPr>
          <w:rFonts w:ascii="仿宋" w:hAnsi="仿宋" w:eastAsia="仿宋" w:cs="仿宋"/>
          <w:sz w:val="28"/>
          <w:szCs w:val="28"/>
        </w:rPr>
      </w:pPr>
    </w:p>
    <w:p>
      <w:pPr>
        <w:adjustRightInd w:val="0"/>
        <w:snapToGrid w:val="0"/>
        <w:spacing w:line="360" w:lineRule="auto"/>
        <w:ind w:firstLine="562" w:firstLineChars="200"/>
        <w:outlineLvl w:val="2"/>
        <w:rPr>
          <w:rFonts w:ascii="黑体" w:hAnsi="黑体" w:eastAsia="黑体" w:cs="Times New Roman"/>
          <w:b/>
          <w:bCs/>
          <w:sz w:val="28"/>
          <w:szCs w:val="28"/>
        </w:rPr>
      </w:pPr>
      <w:r>
        <w:rPr>
          <w:rFonts w:hint="eastAsia" w:ascii="黑体" w:hAnsi="黑体" w:eastAsia="黑体" w:cs="Times New Roman"/>
          <w:b/>
          <w:bCs/>
          <w:sz w:val="28"/>
          <w:szCs w:val="28"/>
        </w:rPr>
        <w:t>4.特色亮点工作</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重点阐述: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学院开展的具有特色亮点的人才培养模式改革、教学内涵建设、体制机制改革等方面的重要改革举措与成效。</w:t>
      </w:r>
    </w:p>
    <w:p>
      <w:pPr>
        <w:adjustRightInd w:val="0"/>
        <w:snapToGrid w:val="0"/>
        <w:spacing w:line="360" w:lineRule="auto"/>
        <w:rPr>
          <w:rFonts w:ascii="仿宋_GB2312" w:eastAsia="仿宋_GB2312"/>
          <w:sz w:val="30"/>
          <w:szCs w:val="30"/>
        </w:rPr>
      </w:pPr>
    </w:p>
    <w:p>
      <w:pPr>
        <w:rPr>
          <w:rFonts w:ascii="黑体" w:hAnsi="黑体" w:eastAsia="黑体" w:cs="Times New Roman"/>
          <w:sz w:val="28"/>
          <w:szCs w:val="28"/>
        </w:rPr>
      </w:pPr>
      <w:r>
        <w:rPr>
          <w:rFonts w:hint="eastAsia" w:ascii="黑体" w:hAnsi="黑体" w:eastAsia="黑体" w:cs="Times New Roman"/>
          <w:sz w:val="28"/>
          <w:szCs w:val="28"/>
        </w:rPr>
        <w:br w:type="page"/>
      </w:r>
    </w:p>
    <w:p>
      <w:pPr>
        <w:adjustRightInd w:val="0"/>
        <w:spacing w:line="360" w:lineRule="auto"/>
        <w:rPr>
          <w:rFonts w:ascii="黑体" w:hAnsi="黑体" w:eastAsia="黑体" w:cs="Times New Roman"/>
          <w:sz w:val="28"/>
          <w:szCs w:val="28"/>
        </w:rPr>
      </w:pPr>
      <w:r>
        <w:rPr>
          <w:rFonts w:hint="eastAsia" w:ascii="黑体" w:hAnsi="黑体" w:eastAsia="黑体" w:cs="Times New Roman"/>
          <w:sz w:val="28"/>
          <w:szCs w:val="28"/>
        </w:rPr>
        <w:t>附件3</w:t>
      </w:r>
    </w:p>
    <w:p>
      <w:pPr>
        <w:adjustRightInd w:val="0"/>
        <w:spacing w:line="360" w:lineRule="auto"/>
        <w:jc w:val="center"/>
        <w:rPr>
          <w:rFonts w:ascii="黑体" w:hAnsi="黑体" w:eastAsia="方正小标宋_GBK" w:cs="Times New Roman"/>
          <w:sz w:val="28"/>
          <w:szCs w:val="28"/>
        </w:rPr>
      </w:pPr>
      <w:r>
        <w:rPr>
          <w:rFonts w:hint="eastAsia" w:ascii="方正小标宋_GBK" w:hAnsi="黑体" w:eastAsia="方正小标宋_GBK" w:cs="Times New Roman"/>
          <w:sz w:val="28"/>
          <w:szCs w:val="28"/>
        </w:rPr>
        <w:t>北京交通大学本科教学档案建设规范</w:t>
      </w:r>
    </w:p>
    <w:tbl>
      <w:tblPr>
        <w:tblStyle w:val="5"/>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900"/>
        <w:gridCol w:w="467"/>
        <w:gridCol w:w="560"/>
        <w:gridCol w:w="2178"/>
        <w:gridCol w:w="403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95" w:type="dxa"/>
            <w:gridSpan w:val="2"/>
            <w:vMerge w:val="restart"/>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课程类别</w:t>
            </w:r>
          </w:p>
        </w:tc>
        <w:tc>
          <w:tcPr>
            <w:tcW w:w="467" w:type="dxa"/>
            <w:vMerge w:val="restart"/>
            <w:shd w:val="clear" w:color="auto" w:fill="auto"/>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2738" w:type="dxa"/>
            <w:gridSpan w:val="2"/>
            <w:vMerge w:val="restart"/>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档案材料项目</w:t>
            </w:r>
          </w:p>
        </w:tc>
        <w:tc>
          <w:tcPr>
            <w:tcW w:w="5565" w:type="dxa"/>
            <w:gridSpan w:val="2"/>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95" w:type="dxa"/>
            <w:gridSpan w:val="2"/>
            <w:vMerge w:val="continue"/>
            <w:shd w:val="clear" w:color="auto" w:fill="auto"/>
            <w:vAlign w:val="center"/>
          </w:tcPr>
          <w:p>
            <w:pPr>
              <w:jc w:val="center"/>
              <w:rPr>
                <w:rFonts w:ascii="宋体" w:hAnsi="宋体" w:eastAsia="宋体" w:cs="宋体"/>
                <w:b/>
                <w:bCs/>
                <w:color w:val="000000"/>
                <w:szCs w:val="21"/>
              </w:rPr>
            </w:pPr>
          </w:p>
        </w:tc>
        <w:tc>
          <w:tcPr>
            <w:tcW w:w="467" w:type="dxa"/>
            <w:vMerge w:val="continue"/>
            <w:shd w:val="clear" w:color="auto" w:fill="auto"/>
            <w:noWrap/>
            <w:vAlign w:val="center"/>
          </w:tcPr>
          <w:p>
            <w:pPr>
              <w:jc w:val="center"/>
              <w:rPr>
                <w:rFonts w:ascii="宋体" w:hAnsi="宋体" w:eastAsia="宋体" w:cs="宋体"/>
                <w:b/>
                <w:bCs/>
                <w:color w:val="000000"/>
                <w:szCs w:val="21"/>
              </w:rPr>
            </w:pPr>
          </w:p>
        </w:tc>
        <w:tc>
          <w:tcPr>
            <w:tcW w:w="2738" w:type="dxa"/>
            <w:gridSpan w:val="2"/>
            <w:vMerge w:val="continue"/>
            <w:shd w:val="clear" w:color="auto" w:fill="auto"/>
            <w:vAlign w:val="center"/>
          </w:tcPr>
          <w:p>
            <w:pPr>
              <w:jc w:val="center"/>
              <w:rPr>
                <w:rFonts w:ascii="宋体" w:hAnsi="宋体" w:eastAsia="宋体" w:cs="宋体"/>
                <w:b/>
                <w:bCs/>
                <w:color w:val="000000"/>
                <w:szCs w:val="21"/>
              </w:rPr>
            </w:pPr>
          </w:p>
        </w:tc>
        <w:tc>
          <w:tcPr>
            <w:tcW w:w="4038" w:type="dxa"/>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形式规范性、内容完整性</w:t>
            </w:r>
          </w:p>
        </w:tc>
        <w:tc>
          <w:tcPr>
            <w:tcW w:w="1527" w:type="dxa"/>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签字规范性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restart"/>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理论</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w:t>
            </w:r>
          </w:p>
        </w:tc>
        <w:tc>
          <w:tcPr>
            <w:tcW w:w="900" w:type="dxa"/>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过程性考核材料</w:t>
            </w: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学生作业</w:t>
            </w:r>
          </w:p>
        </w:tc>
        <w:tc>
          <w:tcPr>
            <w:tcW w:w="4038"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1.好、中、差代表性学生作业共10份</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2.有教师评阅痕迹</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vMerge w:val="restar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560" w:type="dxa"/>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课内实验</w:t>
            </w:r>
          </w:p>
        </w:tc>
        <w:tc>
          <w:tcPr>
            <w:tcW w:w="217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实验任务书</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vMerge w:val="continue"/>
            <w:shd w:val="clear" w:color="auto" w:fill="auto"/>
            <w:noWrap/>
            <w:vAlign w:val="center"/>
          </w:tcPr>
          <w:p>
            <w:pPr>
              <w:jc w:val="center"/>
              <w:rPr>
                <w:rFonts w:ascii="宋体" w:hAnsi="宋体" w:eastAsia="宋体" w:cs="宋体"/>
                <w:color w:val="000000"/>
                <w:szCs w:val="21"/>
              </w:rPr>
            </w:pPr>
          </w:p>
        </w:tc>
        <w:tc>
          <w:tcPr>
            <w:tcW w:w="560" w:type="dxa"/>
            <w:vMerge w:val="continue"/>
            <w:shd w:val="clear" w:color="auto" w:fill="auto"/>
            <w:vAlign w:val="center"/>
          </w:tcPr>
          <w:p>
            <w:pPr>
              <w:jc w:val="left"/>
              <w:rPr>
                <w:rFonts w:ascii="宋体" w:hAnsi="宋体" w:eastAsia="宋体" w:cs="宋体"/>
                <w:color w:val="000000"/>
                <w:szCs w:val="21"/>
              </w:rPr>
            </w:pPr>
          </w:p>
        </w:tc>
        <w:tc>
          <w:tcPr>
            <w:tcW w:w="217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学生实验报告</w:t>
            </w:r>
          </w:p>
        </w:tc>
        <w:tc>
          <w:tcPr>
            <w:tcW w:w="4038"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1.好、中、差代表性学生实验报告共10份</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2.有教师评阅痕迹</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vMerge w:val="continue"/>
            <w:shd w:val="clear" w:color="auto" w:fill="auto"/>
            <w:noWrap/>
            <w:vAlign w:val="center"/>
          </w:tcPr>
          <w:p>
            <w:pPr>
              <w:jc w:val="center"/>
              <w:rPr>
                <w:rFonts w:ascii="宋体" w:hAnsi="宋体" w:eastAsia="宋体" w:cs="宋体"/>
                <w:color w:val="000000"/>
                <w:szCs w:val="21"/>
              </w:rPr>
            </w:pPr>
          </w:p>
        </w:tc>
        <w:tc>
          <w:tcPr>
            <w:tcW w:w="560" w:type="dxa"/>
            <w:vMerge w:val="continue"/>
            <w:shd w:val="clear" w:color="auto" w:fill="auto"/>
            <w:vAlign w:val="center"/>
          </w:tcPr>
          <w:p>
            <w:pPr>
              <w:jc w:val="left"/>
              <w:rPr>
                <w:rFonts w:ascii="宋体" w:hAnsi="宋体" w:eastAsia="宋体" w:cs="宋体"/>
                <w:color w:val="000000"/>
                <w:szCs w:val="21"/>
              </w:rPr>
            </w:pPr>
          </w:p>
        </w:tc>
        <w:tc>
          <w:tcPr>
            <w:tcW w:w="217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实验成绩单</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vMerge w:val="restar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560" w:type="dxa"/>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课内课程设计</w:t>
            </w:r>
          </w:p>
        </w:tc>
        <w:tc>
          <w:tcPr>
            <w:tcW w:w="217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课程设计任务书</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vMerge w:val="continue"/>
            <w:shd w:val="clear" w:color="auto" w:fill="auto"/>
            <w:noWrap/>
            <w:vAlign w:val="center"/>
          </w:tcPr>
          <w:p>
            <w:pPr>
              <w:jc w:val="center"/>
              <w:rPr>
                <w:rFonts w:ascii="宋体" w:hAnsi="宋体" w:eastAsia="宋体" w:cs="宋体"/>
                <w:color w:val="000000"/>
                <w:szCs w:val="21"/>
              </w:rPr>
            </w:pPr>
          </w:p>
        </w:tc>
        <w:tc>
          <w:tcPr>
            <w:tcW w:w="560" w:type="dxa"/>
            <w:vMerge w:val="continue"/>
            <w:shd w:val="clear" w:color="auto" w:fill="auto"/>
            <w:vAlign w:val="center"/>
          </w:tcPr>
          <w:p>
            <w:pPr>
              <w:jc w:val="center"/>
              <w:rPr>
                <w:rFonts w:ascii="宋体" w:hAnsi="宋体" w:eastAsia="宋体" w:cs="宋体"/>
                <w:color w:val="000000"/>
                <w:szCs w:val="21"/>
              </w:rPr>
            </w:pPr>
          </w:p>
        </w:tc>
        <w:tc>
          <w:tcPr>
            <w:tcW w:w="217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学生课程设计报告或论文</w:t>
            </w:r>
          </w:p>
        </w:tc>
        <w:tc>
          <w:tcPr>
            <w:tcW w:w="4038"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1.好、中、差代表性学生课程设计报告或论文共10份</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2.有教师评阅痕迹</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vMerge w:val="continue"/>
            <w:shd w:val="clear" w:color="auto" w:fill="auto"/>
            <w:noWrap/>
            <w:vAlign w:val="center"/>
          </w:tcPr>
          <w:p>
            <w:pPr>
              <w:jc w:val="center"/>
              <w:rPr>
                <w:rFonts w:ascii="宋体" w:hAnsi="宋体" w:eastAsia="宋体" w:cs="宋体"/>
                <w:color w:val="000000"/>
                <w:szCs w:val="21"/>
              </w:rPr>
            </w:pPr>
          </w:p>
        </w:tc>
        <w:tc>
          <w:tcPr>
            <w:tcW w:w="560" w:type="dxa"/>
            <w:vMerge w:val="continue"/>
            <w:shd w:val="clear" w:color="auto" w:fill="auto"/>
            <w:vAlign w:val="center"/>
          </w:tcPr>
          <w:p>
            <w:pPr>
              <w:jc w:val="center"/>
              <w:rPr>
                <w:rFonts w:ascii="宋体" w:hAnsi="宋体" w:eastAsia="宋体" w:cs="宋体"/>
                <w:color w:val="000000"/>
                <w:szCs w:val="21"/>
              </w:rPr>
            </w:pPr>
          </w:p>
        </w:tc>
        <w:tc>
          <w:tcPr>
            <w:tcW w:w="217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课程设计成绩单</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vMerge w:val="restar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560" w:type="dxa"/>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研究性教学</w:t>
            </w:r>
          </w:p>
        </w:tc>
        <w:tc>
          <w:tcPr>
            <w:tcW w:w="217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载体任务书</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vMerge w:val="continue"/>
            <w:shd w:val="clear" w:color="auto" w:fill="auto"/>
            <w:noWrap/>
            <w:vAlign w:val="center"/>
          </w:tcPr>
          <w:p>
            <w:pPr>
              <w:jc w:val="center"/>
              <w:rPr>
                <w:rFonts w:ascii="宋体" w:hAnsi="宋体" w:eastAsia="宋体" w:cs="宋体"/>
                <w:color w:val="000000"/>
                <w:szCs w:val="21"/>
              </w:rPr>
            </w:pPr>
          </w:p>
        </w:tc>
        <w:tc>
          <w:tcPr>
            <w:tcW w:w="560" w:type="dxa"/>
            <w:vMerge w:val="continue"/>
            <w:shd w:val="clear" w:color="auto" w:fill="auto"/>
            <w:vAlign w:val="center"/>
          </w:tcPr>
          <w:p>
            <w:pPr>
              <w:jc w:val="center"/>
              <w:rPr>
                <w:rFonts w:ascii="宋体" w:hAnsi="宋体" w:eastAsia="宋体" w:cs="宋体"/>
                <w:color w:val="000000"/>
                <w:szCs w:val="21"/>
              </w:rPr>
            </w:pPr>
          </w:p>
        </w:tc>
        <w:tc>
          <w:tcPr>
            <w:tcW w:w="217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学生报告或论文</w:t>
            </w:r>
          </w:p>
        </w:tc>
        <w:tc>
          <w:tcPr>
            <w:tcW w:w="4038"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1.好、中、差代表性学生研究性教学报告或论文共10份</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2.有教师评阅痕迹</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vMerge w:val="continue"/>
            <w:shd w:val="clear" w:color="auto" w:fill="auto"/>
            <w:noWrap/>
            <w:vAlign w:val="center"/>
          </w:tcPr>
          <w:p>
            <w:pPr>
              <w:jc w:val="center"/>
              <w:rPr>
                <w:rFonts w:ascii="宋体" w:hAnsi="宋体" w:eastAsia="宋体" w:cs="宋体"/>
                <w:color w:val="000000"/>
                <w:szCs w:val="21"/>
              </w:rPr>
            </w:pPr>
          </w:p>
        </w:tc>
        <w:tc>
          <w:tcPr>
            <w:tcW w:w="560" w:type="dxa"/>
            <w:vMerge w:val="continue"/>
            <w:shd w:val="clear" w:color="auto" w:fill="auto"/>
            <w:vAlign w:val="center"/>
          </w:tcPr>
          <w:p>
            <w:pPr>
              <w:jc w:val="center"/>
              <w:rPr>
                <w:rFonts w:ascii="宋体" w:hAnsi="宋体" w:eastAsia="宋体" w:cs="宋体"/>
                <w:color w:val="000000"/>
                <w:szCs w:val="21"/>
              </w:rPr>
            </w:pPr>
          </w:p>
        </w:tc>
        <w:tc>
          <w:tcPr>
            <w:tcW w:w="217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考核成绩单</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vMerge w:val="restar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560" w:type="dxa"/>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其他考核方式</w:t>
            </w:r>
          </w:p>
        </w:tc>
        <w:tc>
          <w:tcPr>
            <w:tcW w:w="217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考核项目任务书/考核项目说明</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vMerge w:val="continue"/>
            <w:shd w:val="clear" w:color="auto" w:fill="auto"/>
            <w:noWrap/>
            <w:vAlign w:val="center"/>
          </w:tcPr>
          <w:p>
            <w:pPr>
              <w:jc w:val="center"/>
              <w:rPr>
                <w:rFonts w:ascii="宋体" w:hAnsi="宋体" w:eastAsia="宋体" w:cs="宋体"/>
                <w:color w:val="000000"/>
                <w:szCs w:val="21"/>
              </w:rPr>
            </w:pPr>
          </w:p>
        </w:tc>
        <w:tc>
          <w:tcPr>
            <w:tcW w:w="560" w:type="dxa"/>
            <w:vMerge w:val="continue"/>
            <w:shd w:val="clear" w:color="auto" w:fill="auto"/>
            <w:vAlign w:val="center"/>
          </w:tcPr>
          <w:p>
            <w:pPr>
              <w:jc w:val="center"/>
              <w:rPr>
                <w:rFonts w:ascii="宋体" w:hAnsi="宋体" w:eastAsia="宋体" w:cs="宋体"/>
                <w:color w:val="000000"/>
                <w:szCs w:val="21"/>
              </w:rPr>
            </w:pPr>
          </w:p>
        </w:tc>
        <w:tc>
          <w:tcPr>
            <w:tcW w:w="217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学生项目结果材料</w:t>
            </w:r>
          </w:p>
        </w:tc>
        <w:tc>
          <w:tcPr>
            <w:tcW w:w="4038"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1.好、中、差代表性学生项目结果材料共10份</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2.有教师评阅痕迹</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vMerge w:val="continue"/>
            <w:shd w:val="clear" w:color="auto" w:fill="auto"/>
            <w:noWrap/>
            <w:vAlign w:val="center"/>
          </w:tcPr>
          <w:p>
            <w:pPr>
              <w:jc w:val="center"/>
              <w:rPr>
                <w:rFonts w:ascii="宋体" w:hAnsi="宋体" w:eastAsia="宋体" w:cs="宋体"/>
                <w:color w:val="000000"/>
                <w:szCs w:val="21"/>
              </w:rPr>
            </w:pPr>
          </w:p>
        </w:tc>
        <w:tc>
          <w:tcPr>
            <w:tcW w:w="560" w:type="dxa"/>
            <w:vMerge w:val="continue"/>
            <w:shd w:val="clear" w:color="auto" w:fill="auto"/>
            <w:vAlign w:val="center"/>
          </w:tcPr>
          <w:p>
            <w:pPr>
              <w:jc w:val="center"/>
              <w:rPr>
                <w:rFonts w:ascii="宋体" w:hAnsi="宋体" w:eastAsia="宋体" w:cs="宋体"/>
                <w:color w:val="000000"/>
                <w:szCs w:val="21"/>
              </w:rPr>
            </w:pPr>
          </w:p>
        </w:tc>
        <w:tc>
          <w:tcPr>
            <w:tcW w:w="2178" w:type="dxa"/>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考核成绩单</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平时成绩单</w:t>
            </w:r>
          </w:p>
        </w:tc>
        <w:tc>
          <w:tcPr>
            <w:tcW w:w="403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含过程考核各项成绩</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结课考核材料</w:t>
            </w: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教学大纲</w:t>
            </w:r>
          </w:p>
        </w:tc>
        <w:tc>
          <w:tcPr>
            <w:tcW w:w="403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使用学校统一模板，格式规范，内容完整</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教学日历</w:t>
            </w:r>
          </w:p>
        </w:tc>
        <w:tc>
          <w:tcPr>
            <w:tcW w:w="4038"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1.使用学校统一模板，格式规范，内容完整</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2.多位教师合讲课程需在教学日历注明每节课的主讲教师</w:t>
            </w: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学院（系、所、中心）负责人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试卷审批单</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课程负责人或</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空白期末A、B卷/结课任务书、标准答案及评分标准</w:t>
            </w:r>
          </w:p>
        </w:tc>
        <w:tc>
          <w:tcPr>
            <w:tcW w:w="4038"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1.A、B卷是否重复</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2.三年试题重复率是否低于10%</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学生答卷/结课报告（按成绩单学号排序）</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平时成绩单</w:t>
            </w:r>
          </w:p>
        </w:tc>
        <w:tc>
          <w:tcPr>
            <w:tcW w:w="403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含过程考核各项成绩</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期末考试成绩单</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任课教师</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课程成绩分析报告</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课程目标达成情况评价报告</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课程负责人或专业负责人或专门机构负责人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独立实验课程</w:t>
            </w: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教学大纲</w:t>
            </w:r>
          </w:p>
        </w:tc>
        <w:tc>
          <w:tcPr>
            <w:tcW w:w="403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使用学校统一模板，格式规范，内容完整</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教学日历</w:t>
            </w:r>
          </w:p>
        </w:tc>
        <w:tc>
          <w:tcPr>
            <w:tcW w:w="4038"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1.使用学校统一模板，格式规范，内容完整</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2.多位教师合讲课程需在教学日历注明每节课的主讲教师</w:t>
            </w: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学院（系、所、中心）负责人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实验任务书</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学生实验报告</w:t>
            </w:r>
          </w:p>
        </w:tc>
        <w:tc>
          <w:tcPr>
            <w:tcW w:w="403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有教师评阅痕迹</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实验过程考核评价记录单</w:t>
            </w:r>
          </w:p>
        </w:tc>
        <w:tc>
          <w:tcPr>
            <w:tcW w:w="403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含过程考核各项成绩</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课程成绩单</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课程成绩分析报告</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课程目标达成情况评价报告</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课程负责人或专业负责人或专门机构负责人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独立课程设计</w:t>
            </w: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教学大纲</w:t>
            </w:r>
          </w:p>
        </w:tc>
        <w:tc>
          <w:tcPr>
            <w:tcW w:w="403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使用学校统一模板，格式规范，内容完整</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教学日历</w:t>
            </w:r>
          </w:p>
        </w:tc>
        <w:tc>
          <w:tcPr>
            <w:tcW w:w="4038"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1.使用学校统一模板，格式规范，内容完整</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2.多位教师合讲课程需在教学日历注明每节课的主讲教师</w:t>
            </w: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学院（系、所、中心）负责人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课程设计任务书</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学生课程设计报告或论文</w:t>
            </w:r>
          </w:p>
        </w:tc>
        <w:tc>
          <w:tcPr>
            <w:tcW w:w="403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有教师评阅痕迹</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过程考核成绩单</w:t>
            </w:r>
          </w:p>
        </w:tc>
        <w:tc>
          <w:tcPr>
            <w:tcW w:w="403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含过程考核各项成绩</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结课考核成绩单</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课程成绩分析报告</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课程目标达成情况评价报告</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课程负责人或专业负责人或专门机构负责人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实习课程</w:t>
            </w: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教学大纲</w:t>
            </w:r>
          </w:p>
        </w:tc>
        <w:tc>
          <w:tcPr>
            <w:tcW w:w="403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使用学校统一模板，格式规范，内容完整</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教学日历</w:t>
            </w:r>
          </w:p>
        </w:tc>
        <w:tc>
          <w:tcPr>
            <w:tcW w:w="4038"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1.使用学校统一模板，格式规范，内容完整</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2.多位教师合讲课程需在教学日历注明每节课的主讲教师</w:t>
            </w: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学院（系、所、中心）负责人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实习指导书或任务要求</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学生学习日志</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实习报告</w:t>
            </w:r>
          </w:p>
        </w:tc>
        <w:tc>
          <w:tcPr>
            <w:tcW w:w="403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有教师评阅痕迹</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过程考核成绩单</w:t>
            </w:r>
          </w:p>
        </w:tc>
        <w:tc>
          <w:tcPr>
            <w:tcW w:w="403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含过程考核各项成绩</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结课考核成绩单</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任课教师</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课程成绩分析报告</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课程目标达成情况评价报告</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课程负责人或专业负责人或专门机构负责人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95" w:type="dxa"/>
            <w:gridSpan w:val="2"/>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实习工作总结</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95" w:type="dxa"/>
            <w:vMerge w:val="restart"/>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毕业</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论文</w:t>
            </w:r>
          </w:p>
        </w:tc>
        <w:tc>
          <w:tcPr>
            <w:tcW w:w="900"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论文</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主体</w:t>
            </w: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学生论文</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restart"/>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工作</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日志</w:t>
            </w: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738" w:type="dxa"/>
            <w:gridSpan w:val="2"/>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毕业设计（论文）成绩评议（表）</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教学副院长或成绩评定委员会主席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738" w:type="dxa"/>
            <w:gridSpan w:val="2"/>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毕业设计（论文）任务书</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738" w:type="dxa"/>
            <w:gridSpan w:val="2"/>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毕业设计（论文）开题报告</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738" w:type="dxa"/>
            <w:gridSpan w:val="2"/>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毕业设计（论文）指导手册</w:t>
            </w:r>
          </w:p>
        </w:tc>
        <w:tc>
          <w:tcPr>
            <w:tcW w:w="403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指导教师每2周组织填写1次</w:t>
            </w: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738" w:type="dxa"/>
            <w:gridSpan w:val="2"/>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外文原文及译文</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738" w:type="dxa"/>
            <w:gridSpan w:val="2"/>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指导教师评阅意见</w:t>
            </w:r>
          </w:p>
        </w:tc>
        <w:tc>
          <w:tcPr>
            <w:tcW w:w="4038" w:type="dxa"/>
            <w:shd w:val="clear" w:color="auto" w:fill="auto"/>
            <w:vAlign w:val="center"/>
          </w:tcPr>
          <w:p>
            <w:pPr>
              <w:spacing w:line="240" w:lineRule="auto"/>
              <w:rPr>
                <w:rFonts w:ascii="宋体" w:hAnsi="宋体" w:eastAsia="宋体" w:cs="宋体"/>
                <w:color w:val="000000"/>
                <w:szCs w:val="21"/>
              </w:rPr>
            </w:pPr>
          </w:p>
        </w:tc>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738" w:type="dxa"/>
            <w:gridSpan w:val="2"/>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评阅教师评阅意见</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评阅教师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738" w:type="dxa"/>
            <w:gridSpan w:val="2"/>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答辩小组评阅意见</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答辩组长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每专业</w:t>
            </w:r>
          </w:p>
          <w:p>
            <w:pPr>
              <w:jc w:val="center"/>
              <w:rPr>
                <w:rFonts w:ascii="宋体" w:hAnsi="宋体" w:eastAsia="宋体" w:cs="宋体"/>
                <w:color w:val="000000"/>
                <w:szCs w:val="21"/>
              </w:rPr>
            </w:pPr>
            <w:r>
              <w:rPr>
                <w:rFonts w:hint="eastAsia" w:ascii="宋体" w:hAnsi="宋体" w:eastAsia="宋体" w:cs="宋体"/>
                <w:color w:val="000000"/>
                <w:szCs w:val="21"/>
              </w:rPr>
              <w:t>一份</w:t>
            </w: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毕业设计（论文）目标达成情况报告</w:t>
            </w:r>
          </w:p>
        </w:tc>
        <w:tc>
          <w:tcPr>
            <w:tcW w:w="4038" w:type="dxa"/>
            <w:shd w:val="clear" w:color="auto" w:fill="auto"/>
            <w:vAlign w:val="center"/>
          </w:tcPr>
          <w:p>
            <w:pPr>
              <w:rPr>
                <w:rFonts w:ascii="宋体" w:hAnsi="宋体" w:eastAsia="宋体" w:cs="宋体"/>
                <w:color w:val="000000"/>
                <w:szCs w:val="21"/>
              </w:rPr>
            </w:pP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restart"/>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专业</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建设</w:t>
            </w:r>
          </w:p>
        </w:tc>
        <w:tc>
          <w:tcPr>
            <w:tcW w:w="900"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招生</w:t>
            </w: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招生情况评价报告（2022级）</w:t>
            </w:r>
          </w:p>
        </w:tc>
        <w:tc>
          <w:tcPr>
            <w:tcW w:w="403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包含生源质量分析、专业优势分析、专业认可度分析等主要内容</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restart"/>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培养</w:t>
            </w:r>
          </w:p>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方案</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（2020版）</w:t>
            </w: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培养方案</w:t>
            </w:r>
          </w:p>
        </w:tc>
        <w:tc>
          <w:tcPr>
            <w:tcW w:w="403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毕业要求分解为可落实、可评价的毕业要求指标点</w:t>
            </w:r>
          </w:p>
        </w:tc>
        <w:tc>
          <w:tcPr>
            <w:tcW w:w="1527" w:type="dxa"/>
            <w:shd w:val="clear" w:color="auto" w:fill="auto"/>
            <w:vAlign w:val="center"/>
          </w:tcPr>
          <w:p>
            <w:pP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培养目标合理性评价报告</w:t>
            </w:r>
          </w:p>
        </w:tc>
        <w:tc>
          <w:tcPr>
            <w:tcW w:w="4038"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1.内容应能体现行业或企业专家参与</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2.学院专门机构对评价报告审核把关</w:t>
            </w: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专业负责人或学院专门机构负责人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课程体系设置合理性评价报告</w:t>
            </w:r>
          </w:p>
        </w:tc>
        <w:tc>
          <w:tcPr>
            <w:tcW w:w="4038"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1.内容应能体现行业或企业专家参与</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2.学院专门机构对评价报告审核把关</w:t>
            </w: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专业负责人或学院专门机构负责人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restart"/>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质量</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监控</w:t>
            </w: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毕业要求达成情况评价报告</w:t>
            </w:r>
          </w:p>
        </w:tc>
        <w:tc>
          <w:tcPr>
            <w:tcW w:w="4038"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1.评价覆盖专业全体学生</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2.专业针对不同毕业要求指标点应采用适当评价方法，避免仅依据考试成绩算分的单一评价形式，除达成度外，应有合理的文字分析报告</w:t>
            </w: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dxa"/>
            <w:vMerge w:val="continue"/>
            <w:shd w:val="clear" w:color="auto" w:fill="auto"/>
            <w:vAlign w:val="center"/>
          </w:tcPr>
          <w:p>
            <w:pPr>
              <w:jc w:val="center"/>
              <w:rPr>
                <w:rFonts w:ascii="宋体" w:hAnsi="宋体" w:eastAsia="宋体" w:cs="宋体"/>
                <w:color w:val="000000"/>
                <w:szCs w:val="21"/>
              </w:rPr>
            </w:pPr>
          </w:p>
        </w:tc>
        <w:tc>
          <w:tcPr>
            <w:tcW w:w="900" w:type="dxa"/>
            <w:vMerge w:val="continue"/>
            <w:shd w:val="clear" w:color="auto" w:fill="auto"/>
            <w:vAlign w:val="center"/>
          </w:tcPr>
          <w:p>
            <w:pPr>
              <w:jc w:val="center"/>
              <w:rPr>
                <w:rFonts w:ascii="宋体" w:hAnsi="宋体" w:eastAsia="宋体" w:cs="宋体"/>
                <w:color w:val="000000"/>
                <w:szCs w:val="21"/>
              </w:rPr>
            </w:pPr>
          </w:p>
        </w:tc>
        <w:tc>
          <w:tcPr>
            <w:tcW w:w="467" w:type="dxa"/>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738" w:type="dxa"/>
            <w:gridSpan w:val="2"/>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培养目标达成情况评价报告</w:t>
            </w:r>
          </w:p>
        </w:tc>
        <w:tc>
          <w:tcPr>
            <w:tcW w:w="4038"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1.内容包含毕业生跟踪、用人单位和行业组织等相关利益方调查等情况</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2.毕业生跟踪有足够覆盖面，用人单位、行业组织的调查应具有代表性，与毕业生的主要就业去向相一致</w:t>
            </w:r>
          </w:p>
        </w:tc>
        <w:tc>
          <w:tcPr>
            <w:tcW w:w="1527"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专业负责人</w:t>
            </w:r>
          </w:p>
        </w:tc>
      </w:tr>
    </w:tbl>
    <w:p>
      <w:pPr>
        <w:adjustRightInd w:val="0"/>
        <w:snapToGrid w:val="0"/>
        <w:spacing w:line="360" w:lineRule="auto"/>
        <w:ind w:firstLine="561"/>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42CDB2-355C-4AFA-86FD-1763710D58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5C9B51B-42FC-42DD-89FF-027841418CB6}"/>
  </w:font>
  <w:font w:name="方正小标宋_GBK">
    <w:panose1 w:val="02000000000000000000"/>
    <w:charset w:val="86"/>
    <w:family w:val="script"/>
    <w:pitch w:val="default"/>
    <w:sig w:usb0="A00002BF" w:usb1="38CF7CFA" w:usb2="00082016" w:usb3="00000000" w:csb0="00040001" w:csb1="00000000"/>
    <w:embedRegular r:id="rId3" w:fontKey="{09D58833-EC21-442C-8AAC-195D1272B0DD}"/>
  </w:font>
  <w:font w:name="仿宋">
    <w:panose1 w:val="02010609060101010101"/>
    <w:charset w:val="86"/>
    <w:family w:val="modern"/>
    <w:pitch w:val="default"/>
    <w:sig w:usb0="800002BF" w:usb1="38CF7CFA" w:usb2="00000016" w:usb3="00000000" w:csb0="00040001" w:csb1="00000000"/>
    <w:embedRegular r:id="rId4" w:fontKey="{4AE1C8ED-DD17-406D-B8D3-6D22AB0265A7}"/>
  </w:font>
  <w:font w:name="仿宋_GB2312">
    <w:panose1 w:val="02010609030101010101"/>
    <w:charset w:val="86"/>
    <w:family w:val="modern"/>
    <w:pitch w:val="default"/>
    <w:sig w:usb0="00000001" w:usb1="080E0000" w:usb2="00000000" w:usb3="00000000" w:csb0="00040000" w:csb1="00000000"/>
    <w:embedRegular r:id="rId5" w:fontKey="{7AD5C1E3-A9FE-47F6-8668-7637F3C7D631}"/>
  </w:font>
  <w:font w:name="等线">
    <w:panose1 w:val="02010600030101010101"/>
    <w:charset w:val="86"/>
    <w:family w:val="auto"/>
    <w:pitch w:val="default"/>
    <w:sig w:usb0="A00002BF" w:usb1="38CF7CFA" w:usb2="00000016" w:usb3="00000000" w:csb0="0004000F" w:csb1="00000000"/>
    <w:embedRegular r:id="rId6" w:fontKey="{618267F8-4283-46C7-A8E3-30D2668EA05C}"/>
  </w:font>
  <w:font w:name="华文中宋">
    <w:panose1 w:val="02010600040101010101"/>
    <w:charset w:val="86"/>
    <w:family w:val="auto"/>
    <w:pitch w:val="default"/>
    <w:sig w:usb0="00000287" w:usb1="080F0000" w:usb2="00000000" w:usb3="00000000" w:csb0="0004009F" w:csb1="DFD70000"/>
    <w:embedRegular r:id="rId7" w:fontKey="{F1B258C3-B17B-4624-AD6F-FBE8C91D8A3E}"/>
  </w:font>
  <w:font w:name="Cambria Math">
    <w:panose1 w:val="02040503050406030204"/>
    <w:charset w:val="00"/>
    <w:family w:val="roman"/>
    <w:pitch w:val="default"/>
    <w:sig w:usb0="E00006FF" w:usb1="420024FF" w:usb2="02000000" w:usb3="00000000" w:csb0="2000019F" w:csb1="00000000"/>
    <w:embedRegular r:id="rId8" w:fontKey="{89628F9A-AC44-4BCC-B20F-B08C47C2943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240" w:beforeLines="100"/>
      <w:jc w:val="left"/>
      <w:rPr>
        <w:rFonts w:ascii="Times New Roman" w:hAnsi="Times New Roman"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240" w:beforeLines="100"/>
      <w:ind w:firstLine="360" w:firstLineChars="200"/>
      <w:jc w:val="center"/>
      <w:rPr>
        <w:rFonts w:ascii="Times New Roman" w:hAnsi="Times New Roman" w:eastAsia="宋体"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596B8"/>
    <w:multiLevelType w:val="singleLevel"/>
    <w:tmpl w:val="164596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5YmJmYmM0ZWU0NDc4NTcwNzA5NTc5MWU2NTBiMmIifQ=="/>
  </w:docVars>
  <w:rsids>
    <w:rsidRoot w:val="48DD21D5"/>
    <w:rsid w:val="0000121E"/>
    <w:rsid w:val="0002384B"/>
    <w:rsid w:val="000570CE"/>
    <w:rsid w:val="00082CD7"/>
    <w:rsid w:val="00085F93"/>
    <w:rsid w:val="00095B54"/>
    <w:rsid w:val="000C2AD0"/>
    <w:rsid w:val="000C5A42"/>
    <w:rsid w:val="000E5F8D"/>
    <w:rsid w:val="000F53AC"/>
    <w:rsid w:val="00110FB0"/>
    <w:rsid w:val="00113DA7"/>
    <w:rsid w:val="00114453"/>
    <w:rsid w:val="0014766F"/>
    <w:rsid w:val="0018367F"/>
    <w:rsid w:val="001B1036"/>
    <w:rsid w:val="001E01B0"/>
    <w:rsid w:val="001E7C1E"/>
    <w:rsid w:val="001F20DD"/>
    <w:rsid w:val="00201C5D"/>
    <w:rsid w:val="00222E3B"/>
    <w:rsid w:val="00241109"/>
    <w:rsid w:val="00243121"/>
    <w:rsid w:val="0027194A"/>
    <w:rsid w:val="002759F1"/>
    <w:rsid w:val="002C3F02"/>
    <w:rsid w:val="002D6497"/>
    <w:rsid w:val="002F1BB5"/>
    <w:rsid w:val="00307E98"/>
    <w:rsid w:val="003361C4"/>
    <w:rsid w:val="00394041"/>
    <w:rsid w:val="0039676E"/>
    <w:rsid w:val="003A48DC"/>
    <w:rsid w:val="003C15A2"/>
    <w:rsid w:val="003C2B5C"/>
    <w:rsid w:val="003E2E3E"/>
    <w:rsid w:val="004048E0"/>
    <w:rsid w:val="00486742"/>
    <w:rsid w:val="004F3E5B"/>
    <w:rsid w:val="00524465"/>
    <w:rsid w:val="005259E7"/>
    <w:rsid w:val="0054348B"/>
    <w:rsid w:val="00547EA7"/>
    <w:rsid w:val="005509CC"/>
    <w:rsid w:val="0055279A"/>
    <w:rsid w:val="005626AF"/>
    <w:rsid w:val="0056334F"/>
    <w:rsid w:val="00573F93"/>
    <w:rsid w:val="0059064E"/>
    <w:rsid w:val="005A6C6E"/>
    <w:rsid w:val="005B3F56"/>
    <w:rsid w:val="005D66FD"/>
    <w:rsid w:val="0064717C"/>
    <w:rsid w:val="006575B4"/>
    <w:rsid w:val="0067320D"/>
    <w:rsid w:val="00680787"/>
    <w:rsid w:val="00680CDD"/>
    <w:rsid w:val="0071390C"/>
    <w:rsid w:val="0073511E"/>
    <w:rsid w:val="00755787"/>
    <w:rsid w:val="00760D28"/>
    <w:rsid w:val="0079270D"/>
    <w:rsid w:val="007B2C3C"/>
    <w:rsid w:val="007C4E6C"/>
    <w:rsid w:val="007E0F4B"/>
    <w:rsid w:val="007E46A2"/>
    <w:rsid w:val="007F0515"/>
    <w:rsid w:val="00840C8F"/>
    <w:rsid w:val="00844FFA"/>
    <w:rsid w:val="00855119"/>
    <w:rsid w:val="00865ADE"/>
    <w:rsid w:val="0089069F"/>
    <w:rsid w:val="008A6642"/>
    <w:rsid w:val="008B5CC3"/>
    <w:rsid w:val="008D2B2F"/>
    <w:rsid w:val="008D33CF"/>
    <w:rsid w:val="0090295E"/>
    <w:rsid w:val="00907FB8"/>
    <w:rsid w:val="00911F51"/>
    <w:rsid w:val="0093306D"/>
    <w:rsid w:val="009437B9"/>
    <w:rsid w:val="009813FD"/>
    <w:rsid w:val="00987573"/>
    <w:rsid w:val="009D6E25"/>
    <w:rsid w:val="009F6FD5"/>
    <w:rsid w:val="00A12136"/>
    <w:rsid w:val="00A94B19"/>
    <w:rsid w:val="00AB42BF"/>
    <w:rsid w:val="00AD7373"/>
    <w:rsid w:val="00B203A6"/>
    <w:rsid w:val="00B22D4B"/>
    <w:rsid w:val="00B54B20"/>
    <w:rsid w:val="00BA6EA5"/>
    <w:rsid w:val="00BB7567"/>
    <w:rsid w:val="00C12F74"/>
    <w:rsid w:val="00C552B3"/>
    <w:rsid w:val="00C67AA2"/>
    <w:rsid w:val="00C80387"/>
    <w:rsid w:val="00C94618"/>
    <w:rsid w:val="00CA6051"/>
    <w:rsid w:val="00CD7308"/>
    <w:rsid w:val="00D31744"/>
    <w:rsid w:val="00D36325"/>
    <w:rsid w:val="00D42CC6"/>
    <w:rsid w:val="00D71E99"/>
    <w:rsid w:val="00D874E5"/>
    <w:rsid w:val="00D9289A"/>
    <w:rsid w:val="00DA5CAF"/>
    <w:rsid w:val="00DA67DC"/>
    <w:rsid w:val="00DC1543"/>
    <w:rsid w:val="00DD1022"/>
    <w:rsid w:val="00E37E9E"/>
    <w:rsid w:val="00E82131"/>
    <w:rsid w:val="00E93890"/>
    <w:rsid w:val="00ED0F66"/>
    <w:rsid w:val="00EE50E0"/>
    <w:rsid w:val="00EF1765"/>
    <w:rsid w:val="00EF3A20"/>
    <w:rsid w:val="00F012EA"/>
    <w:rsid w:val="00F030D7"/>
    <w:rsid w:val="00F10147"/>
    <w:rsid w:val="00F1333D"/>
    <w:rsid w:val="00F179A6"/>
    <w:rsid w:val="00F838B8"/>
    <w:rsid w:val="00F93D45"/>
    <w:rsid w:val="00F954F7"/>
    <w:rsid w:val="00FB7177"/>
    <w:rsid w:val="00FF4429"/>
    <w:rsid w:val="03A82039"/>
    <w:rsid w:val="048605CC"/>
    <w:rsid w:val="0BA52D3C"/>
    <w:rsid w:val="0D381F4E"/>
    <w:rsid w:val="126B5DC2"/>
    <w:rsid w:val="12E712EE"/>
    <w:rsid w:val="26214DBD"/>
    <w:rsid w:val="28C701CC"/>
    <w:rsid w:val="2CAE58AE"/>
    <w:rsid w:val="2DFD5B35"/>
    <w:rsid w:val="34E83626"/>
    <w:rsid w:val="3DCD4EE5"/>
    <w:rsid w:val="427571CE"/>
    <w:rsid w:val="44E064A9"/>
    <w:rsid w:val="44E95A32"/>
    <w:rsid w:val="453B606D"/>
    <w:rsid w:val="45B46040"/>
    <w:rsid w:val="48DD21D5"/>
    <w:rsid w:val="493D3401"/>
    <w:rsid w:val="498F0434"/>
    <w:rsid w:val="4D74317A"/>
    <w:rsid w:val="4E0B5B60"/>
    <w:rsid w:val="53DD4FCC"/>
    <w:rsid w:val="57A8352A"/>
    <w:rsid w:val="590708B4"/>
    <w:rsid w:val="5A987886"/>
    <w:rsid w:val="5C522CBC"/>
    <w:rsid w:val="5EAB038E"/>
    <w:rsid w:val="5F6A29BF"/>
    <w:rsid w:val="60197CDB"/>
    <w:rsid w:val="6252656D"/>
    <w:rsid w:val="66F27A29"/>
    <w:rsid w:val="67B83B48"/>
    <w:rsid w:val="69337FC6"/>
    <w:rsid w:val="6CFE7A21"/>
    <w:rsid w:val="6E1F5E9D"/>
    <w:rsid w:val="6E8F49C2"/>
    <w:rsid w:val="70BF3967"/>
    <w:rsid w:val="70CF6FA0"/>
    <w:rsid w:val="726A59B0"/>
    <w:rsid w:val="75264883"/>
    <w:rsid w:val="7A884DCA"/>
    <w:rsid w:val="7AE11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 w:type="character" w:customStyle="1" w:styleId="9">
    <w:name w:val="批注框文本 字符"/>
    <w:basedOn w:val="6"/>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17267</Words>
  <Characters>17789</Characters>
  <Lines>135</Lines>
  <Paragraphs>38</Paragraphs>
  <TotalTime>0</TotalTime>
  <ScaleCrop>false</ScaleCrop>
  <LinksUpToDate>false</LinksUpToDate>
  <CharactersWithSpaces>17910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2023-06-28T08:58:00Z</dcterms:created>
  <dc:creator>丽丽小</dc:creator>
  <cp:lastModifiedBy>丽丽小</cp:lastModifiedBy>
  <cp:lastPrinted>2023-06-28T03:06:00Z</cp:lastPrinted>
  <dcterms:modified xsi:type="dcterms:W3CDTF">2023-06-29T09:28:39Z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40C03A720FC548E480505EAF82669085_13</vt:lpwstr>
  </property>
</Properties>
</file>